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2" w:rsidRPr="00E97423" w:rsidRDefault="00026C87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PUDRAT</w:t>
      </w:r>
      <w:r w:rsidR="00510CD2" w:rsidRPr="00026C87">
        <w:rPr>
          <w:b/>
          <w:bCs/>
          <w:sz w:val="24"/>
          <w:szCs w:val="24"/>
          <w:lang w:val="en-US"/>
        </w:rPr>
        <w:t xml:space="preserve"> </w:t>
      </w:r>
      <w:r w:rsidRPr="00026C87">
        <w:rPr>
          <w:b/>
          <w:bCs/>
          <w:sz w:val="24"/>
          <w:szCs w:val="24"/>
          <w:lang w:val="en-US"/>
        </w:rPr>
        <w:t>SHARTNOMASI</w:t>
      </w:r>
      <w:r w:rsidR="00510CD2" w:rsidRPr="00026C87">
        <w:rPr>
          <w:b/>
          <w:bCs/>
          <w:sz w:val="24"/>
          <w:szCs w:val="24"/>
          <w:lang w:val="en-US"/>
        </w:rPr>
        <w:t xml:space="preserve"> №</w:t>
      </w:r>
      <w:r w:rsidR="00510CD2" w:rsidRPr="00E97423">
        <w:rPr>
          <w:b/>
          <w:bCs/>
          <w:sz w:val="24"/>
          <w:szCs w:val="24"/>
          <w:lang w:val="uz-Cyrl-UZ"/>
        </w:rPr>
        <w:t xml:space="preserve"> </w:t>
      </w: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026C87" w:rsidP="00510CD2">
      <w:pPr>
        <w:jc w:val="both"/>
        <w:rPr>
          <w:lang w:val="uz-Cyrl-UZ"/>
        </w:rPr>
      </w:pPr>
      <w:r>
        <w:rPr>
          <w:lang w:val="uz-Cyrl-UZ"/>
        </w:rPr>
        <w:t>Quyi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CHirchiq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tumani</w:t>
      </w:r>
      <w:r w:rsidR="00510CD2" w:rsidRPr="00E97423">
        <w:rPr>
          <w:lang w:val="uz-Cyrl-UZ"/>
        </w:rPr>
        <w:t xml:space="preserve">                                                                 «       »                       202</w:t>
      </w:r>
      <w:r w:rsidR="00510CD2">
        <w:rPr>
          <w:lang w:val="uz-Cyrl-UZ"/>
        </w:rPr>
        <w:t>2</w:t>
      </w:r>
      <w:r w:rsidR="00510CD2" w:rsidRPr="00E97423">
        <w:rPr>
          <w:lang w:val="uz-Cyrl-UZ"/>
        </w:rPr>
        <w:t xml:space="preserve">  </w:t>
      </w:r>
      <w:r>
        <w:rPr>
          <w:lang w:val="uz-Cyrl-UZ"/>
        </w:rPr>
        <w:t>yil</w:t>
      </w:r>
    </w:p>
    <w:p w:rsidR="00510CD2" w:rsidRPr="00E97423" w:rsidRDefault="00510CD2" w:rsidP="00510CD2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510CD2" w:rsidP="00510CD2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026C87">
        <w:rPr>
          <w:b/>
          <w:lang w:val="uz-Cyrl-UZ"/>
        </w:rPr>
        <w:t>Quyi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CHirchiq</w:t>
      </w:r>
      <w:r w:rsidRPr="00E97423">
        <w:rPr>
          <w:b/>
          <w:lang w:val="uz-Cyrl-UZ"/>
        </w:rPr>
        <w:t xml:space="preserve">  </w:t>
      </w:r>
      <w:r w:rsidR="00026C87">
        <w:rPr>
          <w:b/>
          <w:lang w:val="uz-Cyrl-UZ"/>
        </w:rPr>
        <w:t>TTB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A</w:t>
      </w:r>
      <w:r w:rsidRPr="00E97423">
        <w:rPr>
          <w:lang w:val="uz-Cyrl-UZ"/>
        </w:rPr>
        <w:t>.</w:t>
      </w:r>
      <w:r w:rsidR="00026C87">
        <w:rPr>
          <w:lang w:val="uz-Cyrl-UZ"/>
        </w:rPr>
        <w:t>R</w:t>
      </w:r>
      <w:r w:rsidRPr="00E97423">
        <w:rPr>
          <w:lang w:val="uz-Cyrl-UZ"/>
        </w:rPr>
        <w:t>.</w:t>
      </w:r>
      <w:r w:rsidR="00026C87">
        <w:rPr>
          <w:lang w:val="uz-Cyrl-UZ"/>
        </w:rPr>
        <w:t>Eshmuratov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200AED">
        <w:rPr>
          <w:b/>
          <w:lang w:val="uz-Cyrl-UZ"/>
        </w:rPr>
        <w:t>________________________________</w:t>
      </w:r>
      <w:r w:rsidRPr="00E97423">
        <w:rPr>
          <w:b/>
          <w:lang w:val="uz-Cyrl-UZ"/>
        </w:rPr>
        <w:t xml:space="preserve">   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 w:rsidR="008508A5" w:rsidRPr="008508A5">
        <w:rPr>
          <w:lang w:val="uz-Cyrl-UZ"/>
        </w:rPr>
        <w:t>M</w:t>
      </w:r>
      <w:r w:rsidRPr="00E97423">
        <w:rPr>
          <w:lang w:val="uz-Cyrl-UZ"/>
        </w:rPr>
        <w:t>.</w:t>
      </w:r>
      <w:r w:rsidR="008508A5" w:rsidRPr="008508A5">
        <w:rPr>
          <w:lang w:val="uz-Cyrl-UZ"/>
        </w:rPr>
        <w:t>Sherbekov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PREDMETI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xulosasi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rPr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026C87" w:rsidRDefault="00510CD2" w:rsidP="00510CD2">
      <w:pPr>
        <w:ind w:firstLine="720"/>
        <w:jc w:val="both"/>
        <w:rPr>
          <w:lang w:val="en-US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 w:rsidR="00026C87"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200AED" w:rsidRPr="00200AED">
        <w:rPr>
          <w:b/>
          <w:bCs/>
          <w:i/>
          <w:iCs/>
          <w:u w:val="single"/>
          <w:lang w:val="en-US"/>
        </w:rPr>
        <w:t>___________________________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 w:rsidR="00026C87"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200AED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 w:rsidR="00026C87"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 w:rsidR="008508A5">
        <w:rPr>
          <w:lang w:val="uz-Cyrl-UZ"/>
        </w:rPr>
        <w:t>ya’n</w:t>
      </w:r>
      <w:r w:rsidR="008508A5" w:rsidRPr="008508A5">
        <w:rPr>
          <w:lang w:val="uz-Cyrl-UZ"/>
        </w:rPr>
        <w:t>i</w:t>
      </w:r>
      <w:r w:rsidRPr="00E97423">
        <w:rPr>
          <w:b/>
          <w:bCs/>
          <w:i/>
          <w:iCs/>
          <w:u w:val="single"/>
          <w:lang w:val="uz-Cyrl-UZ"/>
        </w:rPr>
        <w:t xml:space="preserve">  </w:t>
      </w:r>
      <w:r w:rsidR="00200AED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so‘mini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 w:rsidR="00026C87"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MAJBURIYATLARI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="00510CD2" w:rsidRPr="00E97423">
        <w:rPr>
          <w:lang w:val="uz-Cyrl-UZ"/>
        </w:rPr>
        <w:t>.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="00510CD2"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 xml:space="preserve">.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>.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JAVOBGARLIGI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 w:rsidR="00026C87"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 w:rsidR="00026C87"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 w:rsidR="00026C87"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 w:rsidR="00026C87"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XOLATLAR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 w:rsidR="00026C87"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 w:rsidR="00026C87"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510CD2" w:rsidRPr="00E97423" w:rsidRDefault="00510CD2" w:rsidP="00510CD2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 w:rsidR="00026C87"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>)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 w:rsidR="00026C87">
        <w:rPr>
          <w:lang w:val="uz-Cyrl-UZ"/>
        </w:rPr>
        <w:t>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,</w:t>
      </w:r>
      <w:r w:rsidR="00026C87"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b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v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 w:rsidR="00026C87"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MUDDATLARI</w:t>
      </w:r>
    </w:p>
    <w:p w:rsidR="00510CD2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bo‘linmalari</w:t>
      </w:r>
      <w:r w:rsidR="00026C87">
        <w:rPr>
          <w:lang w:val="uz-Cyrl-UZ"/>
        </w:rPr>
        <w:t>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 w:rsidR="00026C87"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 w:rsidR="00026C87"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 w:rsidR="00026C87"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 w:rsidR="00026C87"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REKVIZITLARI</w:t>
      </w:r>
    </w:p>
    <w:p w:rsidR="00510CD2" w:rsidRPr="00E97423" w:rsidRDefault="00510CD2" w:rsidP="00510CD2">
      <w:pPr>
        <w:ind w:firstLine="720"/>
        <w:jc w:val="center"/>
        <w:rPr>
          <w:b/>
          <w:lang w:val="uz-Cyrl-UZ"/>
        </w:rPr>
      </w:pPr>
    </w:p>
    <w:p w:rsidR="00510CD2" w:rsidRPr="00E97423" w:rsidRDefault="00510CD2" w:rsidP="00510CD2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tbl>
      <w:tblPr>
        <w:tblW w:w="9926" w:type="dxa"/>
        <w:tblInd w:w="-72" w:type="dxa"/>
        <w:tblLayout w:type="fixed"/>
        <w:tblLook w:val="0000"/>
      </w:tblPr>
      <w:tblGrid>
        <w:gridCol w:w="4855"/>
        <w:gridCol w:w="5071"/>
      </w:tblGrid>
      <w:tr w:rsidR="00510CD2" w:rsidRPr="00E97423" w:rsidTr="003A3370">
        <w:trPr>
          <w:trHeight w:val="493"/>
        </w:trPr>
        <w:tc>
          <w:tcPr>
            <w:tcW w:w="4855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  <w:lang w:val="uz-Cyrl-UZ"/>
              </w:rPr>
              <w:t>«</w:t>
            </w:r>
            <w:r w:rsidR="00026C87">
              <w:rPr>
                <w:b/>
                <w:bCs/>
                <w:lang w:val="uz-Cyrl-UZ"/>
              </w:rPr>
              <w:t>PUDRATCHI</w:t>
            </w:r>
            <w:r w:rsidRPr="00E97423">
              <w:rPr>
                <w:b/>
                <w:bCs/>
                <w:lang w:val="uz-Cyrl-UZ"/>
              </w:rPr>
              <w:t>»</w:t>
            </w:r>
          </w:p>
        </w:tc>
        <w:tc>
          <w:tcPr>
            <w:tcW w:w="5071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</w:rPr>
              <w:t>«</w:t>
            </w:r>
            <w:r w:rsidR="00026C87">
              <w:rPr>
                <w:b/>
                <w:bCs/>
              </w:rPr>
              <w:t>BUYURTMACHI</w:t>
            </w:r>
            <w:r w:rsidRPr="00E97423">
              <w:rPr>
                <w:b/>
                <w:bCs/>
              </w:rPr>
              <w:t>»</w:t>
            </w:r>
          </w:p>
        </w:tc>
      </w:tr>
      <w:tr w:rsidR="00510CD2" w:rsidRPr="00200AED" w:rsidTr="003A3370">
        <w:trPr>
          <w:trHeight w:val="2699"/>
        </w:trPr>
        <w:tc>
          <w:tcPr>
            <w:tcW w:w="4855" w:type="dxa"/>
          </w:tcPr>
          <w:p w:rsidR="00510CD2" w:rsidRPr="00E97423" w:rsidRDefault="00510CD2" w:rsidP="003A3370">
            <w:pPr>
              <w:rPr>
                <w:lang w:val="uz-Cyrl-UZ"/>
              </w:rPr>
            </w:pPr>
          </w:p>
        </w:tc>
        <w:tc>
          <w:tcPr>
            <w:tcW w:w="5071" w:type="dxa"/>
          </w:tcPr>
          <w:p w:rsidR="00510CD2" w:rsidRPr="00E97423" w:rsidRDefault="00510CD2" w:rsidP="003A3370">
            <w:pPr>
              <w:jc w:val="center"/>
              <w:rPr>
                <w:lang w:val="uz-Cyrl-UZ"/>
              </w:rPr>
            </w:pPr>
          </w:p>
        </w:tc>
      </w:tr>
    </w:tbl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8D3B07" w:rsidRPr="00510CD2" w:rsidRDefault="008D3B07">
      <w:pPr>
        <w:rPr>
          <w:lang w:val="uz-Cyrl-UZ"/>
        </w:rPr>
      </w:pPr>
    </w:p>
    <w:sectPr w:rsidR="008D3B07" w:rsidRPr="00510CD2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2"/>
    <w:rsid w:val="00026C87"/>
    <w:rsid w:val="00200AED"/>
    <w:rsid w:val="00510CD2"/>
    <w:rsid w:val="00640EFB"/>
    <w:rsid w:val="008508A5"/>
    <w:rsid w:val="008D3B07"/>
    <w:rsid w:val="00D8619D"/>
    <w:rsid w:val="00F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CD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C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1720</Words>
  <Characters>9806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2022-04-28T10:50:00Z</dcterms:created>
  <dcterms:modified xsi:type="dcterms:W3CDTF">2022-05-07T06:11:00Z</dcterms:modified>
</cp:coreProperties>
</file>