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FA" w:rsidRPr="00F16C1F" w:rsidRDefault="00E81FFA" w:rsidP="00E81FFA">
      <w:pPr>
        <w:widowControl w:val="0"/>
        <w:autoSpaceDE w:val="0"/>
        <w:autoSpaceDN w:val="0"/>
        <w:adjustRightInd w:val="0"/>
        <w:spacing w:after="0" w:line="240" w:lineRule="auto"/>
        <w:ind w:left="35" w:right="1" w:firstLine="532"/>
        <w:jc w:val="center"/>
        <w:rPr>
          <w:rFonts w:ascii="Times New Roman" w:eastAsia="Times New Roman" w:hAnsi="Times New Roman" w:cs="Times New Roman"/>
          <w:b/>
          <w:sz w:val="16"/>
          <w:szCs w:val="16"/>
          <w:lang w:val="uz-Cyrl-UZ" w:eastAsia="ru-RU"/>
        </w:rPr>
      </w:pPr>
      <w:r w:rsidRPr="00F16C1F">
        <w:rPr>
          <w:rFonts w:ascii="Times New Roman" w:eastAsia="Times New Roman" w:hAnsi="Times New Roman" w:cs="Times New Roman"/>
          <w:b/>
          <w:sz w:val="16"/>
          <w:szCs w:val="16"/>
          <w:lang w:val="uz-Cyrl-UZ" w:eastAsia="ru-RU"/>
        </w:rPr>
        <w:t>ШАРТНОМА ШАКЛИ</w:t>
      </w:r>
    </w:p>
    <w:p w:rsidR="00E81FFA" w:rsidRPr="00F16C1F" w:rsidRDefault="00E81FFA" w:rsidP="00E81FFA">
      <w:pPr>
        <w:widowControl w:val="0"/>
        <w:autoSpaceDE w:val="0"/>
        <w:autoSpaceDN w:val="0"/>
        <w:adjustRightInd w:val="0"/>
        <w:spacing w:after="0" w:line="240" w:lineRule="auto"/>
        <w:ind w:firstLine="567"/>
        <w:jc w:val="center"/>
        <w:rPr>
          <w:rFonts w:ascii="Times New Roman" w:eastAsia="Times New Roman" w:hAnsi="Times New Roman" w:cs="Times New Roman"/>
          <w:b/>
          <w:sz w:val="16"/>
          <w:szCs w:val="16"/>
          <w:lang w:val="uz-Cyrl-UZ" w:eastAsia="ru-RU"/>
        </w:rPr>
      </w:pPr>
    </w:p>
    <w:p w:rsidR="00E81FFA" w:rsidRPr="00F16C1F" w:rsidRDefault="00E81FFA" w:rsidP="00E81FFA">
      <w:pPr>
        <w:widowControl w:val="0"/>
        <w:autoSpaceDE w:val="0"/>
        <w:autoSpaceDN w:val="0"/>
        <w:adjustRightInd w:val="0"/>
        <w:spacing w:after="0" w:line="240" w:lineRule="auto"/>
        <w:ind w:firstLine="540"/>
        <w:jc w:val="center"/>
        <w:rPr>
          <w:rFonts w:ascii="Times New Roman" w:eastAsia="Times New Roman" w:hAnsi="Times New Roman" w:cs="Times New Roman"/>
          <w:b/>
          <w:snapToGrid w:val="0"/>
          <w:sz w:val="16"/>
          <w:szCs w:val="16"/>
          <w:lang w:val="uz-Cyrl-UZ" w:eastAsia="ru-RU"/>
        </w:rPr>
      </w:pPr>
    </w:p>
    <w:p w:rsidR="00E81FFA" w:rsidRPr="00F16C1F" w:rsidRDefault="00E81FFA" w:rsidP="00E81FFA">
      <w:pPr>
        <w:widowControl w:val="0"/>
        <w:autoSpaceDE w:val="0"/>
        <w:autoSpaceDN w:val="0"/>
        <w:adjustRightInd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-сонли шартнома</w:t>
      </w:r>
    </w:p>
    <w:p w:rsidR="00E81FFA" w:rsidRPr="00F16C1F" w:rsidRDefault="00E81FFA" w:rsidP="00E81FFA">
      <w:pPr>
        <w:autoSpaceDN w:val="0"/>
        <w:spacing w:after="0" w:line="256"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Ўзбекистон Республикаси _______________________________________________тўғрисида</w:t>
      </w:r>
    </w:p>
    <w:p w:rsidR="00E81FFA" w:rsidRPr="00F16C1F" w:rsidRDefault="00E81FFA" w:rsidP="00E81FFA">
      <w:pPr>
        <w:autoSpaceDN w:val="0"/>
        <w:spacing w:after="160" w:line="256"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sz w:val="16"/>
          <w:szCs w:val="16"/>
          <w:lang w:val="uz-Cyrl-UZ"/>
        </w:rPr>
        <w:t>Тошкент ш.                                                                                                                 202</w:t>
      </w:r>
      <w:r>
        <w:rPr>
          <w:rFonts w:ascii="Times New Roman" w:eastAsia="Calibri" w:hAnsi="Times New Roman" w:cs="Times New Roman"/>
          <w:sz w:val="16"/>
          <w:szCs w:val="16"/>
          <w:lang w:val="uz-Cyrl-UZ"/>
        </w:rPr>
        <w:t>2</w:t>
      </w:r>
      <w:r w:rsidRPr="00F16C1F">
        <w:rPr>
          <w:rFonts w:ascii="Times New Roman" w:eastAsia="Calibri" w:hAnsi="Times New Roman" w:cs="Times New Roman"/>
          <w:sz w:val="16"/>
          <w:szCs w:val="16"/>
          <w:lang w:val="uz-Cyrl-UZ"/>
        </w:rPr>
        <w:t xml:space="preserve"> йил ”   ” </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r w:rsidRPr="00F16C1F">
        <w:rPr>
          <w:rFonts w:ascii="Times New Roman" w:eastAsia="Calibri" w:hAnsi="Times New Roman" w:cs="Times New Roman"/>
          <w:b/>
          <w:color w:val="000000"/>
          <w:sz w:val="16"/>
          <w:szCs w:val="16"/>
          <w:lang w:val="uz-Cyrl-UZ" w:eastAsia="ru-RU"/>
        </w:rPr>
        <w:t>______________________________________________</w:t>
      </w:r>
      <w:r w:rsidRPr="00F16C1F">
        <w:rPr>
          <w:rFonts w:ascii="Times New Roman" w:eastAsia="Calibri" w:hAnsi="Times New Roman" w:cs="Times New Roman"/>
          <w:sz w:val="16"/>
          <w:szCs w:val="16"/>
          <w:lang w:val="uz-Cyrl-UZ"/>
        </w:rPr>
        <w:t>номидан низом асосида иш юритувчи _________________бир томондан (бундан буён матнда “Бажарувчи” деб юритилади) ҳамда ________________________________________номидан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I. ШАРТНОМА ПРЕДМЕТИ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“Бажарувчи” ушбу Шартнома иловасида кўрсатилган спецификацияга мувофиқ  строительство   мажбуриятини олади, “Буюртмачи” ушбу хизматларни ва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II. ТОМОНЛАРНИНГ ҲУҚУКЛАРИ ВА МАЖБУРИЯТЛАРИ</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Буюртмачининг хуқуқлари:</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бажарувчидан техник шартларга лозим даражадаги хизматларни кўрсатишни талаб қилиш;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лозим даражадаги сифатда хизмат кўрсатилмаган тақдирда, ўз хоҳишига кўра қуйидагиларни талаб қилиш: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баҳосини мутаносиб равишда пасайтириш;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Буюртмачининг мажбуриятлари:</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 шартларига мувофиқ кўрсатилган хизматларни қабул қилиш;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Шартноманинг 3.1 ва 3.2-бандларига мувофиқ кўрсатилган хизматлар учун тўловларни амалга ошириш.</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Бажарувчининг ҳуқуқлари:</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буюртмачидан бажарилган ишни қабул қилишни асоссиз равишда рад этиш натижасида етказилган зарарни қоплашни талаб қилиш;</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Бажарувчининг мажбуриятлари:</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81FFA" w:rsidRPr="00F16C1F" w:rsidRDefault="00E81FFA" w:rsidP="00E81FFA">
      <w:pPr>
        <w:autoSpaceDN w:val="0"/>
        <w:spacing w:after="0" w:line="240" w:lineRule="auto"/>
        <w:ind w:firstLine="709"/>
        <w:jc w:val="both"/>
        <w:rPr>
          <w:rFonts w:ascii="Times New Roman" w:eastAsia="Calibri" w:hAnsi="Times New Roman" w:cs="Times New Roman"/>
          <w:b/>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III. ШАРТНОМА БАҲОСИ ВА ХИСОБ-КИТОБ ҚИЛИШ ТАРТИБИ</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Ушбу шартноманинг баҳоси  </w:t>
      </w:r>
      <w:r w:rsidRPr="00F16C1F">
        <w:rPr>
          <w:rFonts w:ascii="Times New Roman" w:eastAsia="Times New Roman" w:hAnsi="Times New Roman" w:cs="Times New Roman"/>
          <w:sz w:val="16"/>
          <w:szCs w:val="16"/>
          <w:lang w:val="uz-Cyrl-UZ" w:eastAsia="ru-RU"/>
        </w:rPr>
        <w:t>___________</w:t>
      </w:r>
      <w:r w:rsidRPr="00F16C1F">
        <w:rPr>
          <w:rFonts w:ascii="Times New Roman" w:eastAsia="Calibri" w:hAnsi="Times New Roman" w:cs="Times New Roman"/>
          <w:sz w:val="16"/>
          <w:szCs w:val="16"/>
          <w:lang w:val="uz-Cyrl-UZ"/>
        </w:rPr>
        <w:t xml:space="preserve">  (___________________________________) сўм, ҚҚС билан (ҚҚС сиз).</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Кўрсатиладиган хизматларнинг баҳоси ушбу шартноманинг иловасида кўрсатилади.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Хизматлар бўйича ҳисоб-китоблар банк ўтказмаси орқали Бажарувчининг ҳисоб рақамига ўтказиш йўли билан амалга оширилади.</w:t>
      </w: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IV. ШАРТНОМАНИ БАЖАРИШ</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Шартнома шартлари ушбу шартнома ва қонун ҳужжатлари талабларига мувофиқ белгиланган тартибда амалга оширилади.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Шартнома бўйича мажбуриятларнинг бажарилиши санаси ҳисобварақ-фактура тузилган кун деб ҳисобланади.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Буюртмачининг розилиги билан хизматлар муддатидан олдин тақдим этилиши мумкин.</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 белгиланган муддатларни бузган ҳолда кўрсатилган хизматни қабул қилишни рад этишга ҳақлидир.</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V. ТОМОНЛАРНИНГ ЖАВОБГАРЛИГИ</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Тақдим этилаётган хизматларнинг сифати, миқдори, уларнинг баҳоси Бажарувчи томонидан нотўғри </w:t>
      </w:r>
      <w:r w:rsidRPr="00F16C1F">
        <w:rPr>
          <w:rFonts w:ascii="Times New Roman" w:eastAsia="Calibri" w:hAnsi="Times New Roman" w:cs="Times New Roman"/>
          <w:sz w:val="16"/>
          <w:szCs w:val="16"/>
          <w:lang w:val="uz-Cyrl-UZ"/>
        </w:rPr>
        <w:lastRenderedPageBreak/>
        <w:t>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Жарима ва пенядан ташқари, Бажарувчи Буюртмачига хизматларни тақдим этмаслик натижасида этказилган зарарни қоплайди.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16C1F">
        <w:rPr>
          <w:rFonts w:ascii="Times New Roman" w:eastAsia="Calibri" w:hAnsi="Times New Roman" w:cs="Times New Roman"/>
          <w:sz w:val="16"/>
          <w:szCs w:val="16"/>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VI. НИЗОЛАРНИ ҲАЛ ЭТИШ ТАРТИБИ</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 ўртасида ушбу келишувдан келиб чиқадиган низолар томонлар ўртасида музокаралар йўли билан ҳал қилинади.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 ўртасидаги музокаралар йўли билан ҳал қилинмаган низолар Тошкент шахар туманлараро иқтисодий судида ҳал қилинади.</w:t>
      </w:r>
    </w:p>
    <w:p w:rsidR="00E81FFA" w:rsidRPr="00F16C1F" w:rsidRDefault="00E81FFA" w:rsidP="00E81FFA">
      <w:pPr>
        <w:autoSpaceDN w:val="0"/>
        <w:spacing w:after="0" w:line="240" w:lineRule="auto"/>
        <w:ind w:firstLine="709"/>
        <w:jc w:val="both"/>
        <w:rPr>
          <w:rFonts w:ascii="Times New Roman" w:eastAsia="Calibri" w:hAnsi="Times New Roman" w:cs="Times New Roman"/>
          <w:b/>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VII. ФОРС-МАЖОР ҲОЛАТЛАРИ</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VIII. КОРРУПЦИЯГА ҚАРШИ КУРАШ</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81FFA" w:rsidRPr="00F16C1F" w:rsidRDefault="00E81FFA" w:rsidP="00E81FFA">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Ходимнинг уни рағбатлантирувчи томон фойдасига амалга оширган ҳаракатлари деганда қуйидагилар тушунилади:</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бошқа контрагентлар билан таққослаганда асоссиз устунликларни тақдим этиш;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ҳар қандай кафолатлар билан таъминлаш;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амалдаги тартиб-таомилларни тезлаштириш;</w:t>
      </w:r>
    </w:p>
    <w:p w:rsidR="00E81FFA" w:rsidRPr="00F16C1F" w:rsidRDefault="00E81FFA" w:rsidP="00E81FFA">
      <w:pPr>
        <w:widowControl w:val="0"/>
        <w:numPr>
          <w:ilvl w:val="0"/>
          <w:numId w:val="2"/>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Ёзма хабарномада Томон контрагент, унинг шериклари, ишчилари ёки воситачилари томонидан ушбу шартлар ва </w:t>
      </w:r>
      <w:r w:rsidRPr="00F16C1F">
        <w:rPr>
          <w:rFonts w:ascii="Times New Roman" w:eastAsia="Calibri" w:hAnsi="Times New Roman" w:cs="Times New Roman"/>
          <w:sz w:val="16"/>
          <w:szCs w:val="16"/>
          <w:lang w:val="uz-Cyrl-UZ"/>
        </w:rPr>
        <w:lastRenderedPageBreak/>
        <w:t>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IX. ШАРТНОМАНИНГ АМАЛ ҚИЛИШИ</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Ушбу шартнома Томонлар имзолаган кундан бошлаб кучга киради ва 2021 йил </w:t>
      </w:r>
      <w:r w:rsidRPr="00F16C1F">
        <w:rPr>
          <w:rFonts w:ascii="Times New Roman" w:eastAsia="Calibri" w:hAnsi="Times New Roman" w:cs="Times New Roman"/>
          <w:sz w:val="16"/>
          <w:szCs w:val="16"/>
          <w:lang w:val="uz-Cyrl-UZ"/>
        </w:rPr>
        <w:br/>
        <w:t>31 декабргача амал қилади.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E81FFA" w:rsidRPr="00F16C1F" w:rsidRDefault="00E81FFA" w:rsidP="00E81FFA">
      <w:pPr>
        <w:autoSpaceDN w:val="0"/>
        <w:spacing w:after="0" w:line="240" w:lineRule="auto"/>
        <w:ind w:firstLine="709"/>
        <w:jc w:val="both"/>
        <w:rPr>
          <w:rFonts w:ascii="Times New Roman" w:eastAsia="Calibri" w:hAnsi="Times New Roman" w:cs="Times New Roman"/>
          <w:sz w:val="16"/>
          <w:szCs w:val="16"/>
          <w:lang w:val="uz-Cyrl-UZ"/>
        </w:rPr>
      </w:pPr>
    </w:p>
    <w:p w:rsidR="00E81FFA" w:rsidRPr="00F16C1F" w:rsidRDefault="00E81FFA" w:rsidP="00E81FFA">
      <w:pPr>
        <w:autoSpaceDN w:val="0"/>
        <w:spacing w:after="0" w:line="240"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Х. ЯКУНИЙ ҚОИДАЛАР</w:t>
      </w:r>
    </w:p>
    <w:p w:rsidR="00E81FFA" w:rsidRPr="00F16C1F" w:rsidRDefault="00E81FFA" w:rsidP="00E81FFA">
      <w:pPr>
        <w:widowControl w:val="0"/>
        <w:numPr>
          <w:ilvl w:val="0"/>
          <w:numId w:val="1"/>
        </w:numPr>
        <w:autoSpaceDE w:val="0"/>
        <w:autoSpaceDN w:val="0"/>
        <w:adjustRightInd w:val="0"/>
        <w:spacing w:after="160" w:line="240" w:lineRule="auto"/>
        <w:contextualSpacing/>
        <w:jc w:val="both"/>
        <w:rPr>
          <w:rFonts w:ascii="Times New Roman" w:eastAsia="Calibri" w:hAnsi="Times New Roman" w:cs="Times New Roman"/>
          <w:vanish/>
          <w:sz w:val="16"/>
          <w:szCs w:val="16"/>
          <w:lang w:val="uz-Cyrl-UZ"/>
        </w:rPr>
      </w:pP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 бир хил юридик кучга эга бўлган икки нусхада тузилди.</w:t>
      </w:r>
    </w:p>
    <w:p w:rsidR="00E81FFA" w:rsidRPr="00F16C1F" w:rsidRDefault="00E81FFA" w:rsidP="00E81FFA">
      <w:pPr>
        <w:widowControl w:val="0"/>
        <w:numPr>
          <w:ilvl w:val="1"/>
          <w:numId w:val="1"/>
        </w:numPr>
        <w:autoSpaceDE w:val="0"/>
        <w:autoSpaceDN w:val="0"/>
        <w:adjustRightInd w:val="0"/>
        <w:spacing w:after="160" w:line="240" w:lineRule="auto"/>
        <w:ind w:firstLine="567"/>
        <w:contextualSpacing/>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Ушбу шартнома, унга киритилган ўзгартиришлар (қўшимчалар) томонлар томонидан имзоланган пайтдан бошлаб оширилади.</w:t>
      </w:r>
    </w:p>
    <w:p w:rsidR="00E81FFA" w:rsidRPr="00F16C1F" w:rsidRDefault="00E81FFA" w:rsidP="00E81FFA">
      <w:pPr>
        <w:autoSpaceDN w:val="0"/>
        <w:spacing w:after="0" w:line="264" w:lineRule="auto"/>
        <w:ind w:firstLine="709"/>
        <w:rPr>
          <w:rFonts w:ascii="Times New Roman" w:eastAsia="Calibri" w:hAnsi="Times New Roman" w:cs="Times New Roman"/>
          <w:sz w:val="16"/>
          <w:szCs w:val="16"/>
          <w:lang w:val="uz-Cyrl-UZ"/>
        </w:rPr>
      </w:pPr>
    </w:p>
    <w:p w:rsidR="00E81FFA" w:rsidRPr="00F16C1F" w:rsidRDefault="00E81FFA" w:rsidP="00E81FFA">
      <w:pPr>
        <w:autoSpaceDN w:val="0"/>
        <w:spacing w:after="0" w:line="264" w:lineRule="auto"/>
        <w:ind w:firstLine="709"/>
        <w:rPr>
          <w:rFonts w:ascii="Times New Roman" w:eastAsia="Calibri" w:hAnsi="Times New Roman" w:cs="Times New Roman"/>
          <w:sz w:val="16"/>
          <w:szCs w:val="16"/>
          <w:lang w:val="uz-Cyrl-UZ"/>
        </w:rPr>
      </w:pPr>
    </w:p>
    <w:p w:rsidR="00E81FFA" w:rsidRPr="00F16C1F" w:rsidRDefault="00E81FFA" w:rsidP="00E81FFA">
      <w:pPr>
        <w:autoSpaceDN w:val="0"/>
        <w:spacing w:after="0" w:line="264" w:lineRule="auto"/>
        <w:jc w:val="center"/>
        <w:rPr>
          <w:rFonts w:ascii="Times New Roman" w:eastAsia="Calibri" w:hAnsi="Times New Roman" w:cs="Times New Roman"/>
          <w:b/>
          <w:sz w:val="16"/>
          <w:szCs w:val="16"/>
          <w:lang w:val="uz-Cyrl-UZ"/>
        </w:rPr>
      </w:pPr>
      <w:r w:rsidRPr="00F16C1F">
        <w:rPr>
          <w:rFonts w:ascii="Times New Roman" w:eastAsia="Calibri" w:hAnsi="Times New Roman" w:cs="Times New Roman"/>
          <w:b/>
          <w:sz w:val="16"/>
          <w:szCs w:val="16"/>
          <w:lang w:val="uz-Cyrl-UZ"/>
        </w:rPr>
        <w:t>XI. ТОМОНЛАРНИНГ РЕКВИЗИТЛАРИ ВА ИМЗОЛАРИ</w:t>
      </w:r>
    </w:p>
    <w:p w:rsidR="00E81FFA" w:rsidRPr="00F16C1F" w:rsidRDefault="00E81FFA" w:rsidP="00E81FFA">
      <w:pPr>
        <w:autoSpaceDN w:val="0"/>
        <w:spacing w:after="0" w:line="264" w:lineRule="auto"/>
        <w:ind w:firstLine="709"/>
        <w:jc w:val="center"/>
        <w:rPr>
          <w:rFonts w:ascii="Times New Roman" w:eastAsia="Calibri" w:hAnsi="Times New Roman" w:cs="Times New Roman"/>
          <w:b/>
          <w:sz w:val="16"/>
          <w:szCs w:val="16"/>
          <w:lang w:val="uz-Cyrl-UZ"/>
        </w:rPr>
      </w:pPr>
    </w:p>
    <w:tbl>
      <w:tblPr>
        <w:tblW w:w="9498" w:type="dxa"/>
        <w:tblLook w:val="00A0"/>
      </w:tblPr>
      <w:tblGrid>
        <w:gridCol w:w="4678"/>
        <w:gridCol w:w="4820"/>
      </w:tblGrid>
      <w:tr w:rsidR="00E81FFA" w:rsidRPr="00105841" w:rsidTr="00D76BA8">
        <w:tc>
          <w:tcPr>
            <w:tcW w:w="4678" w:type="dxa"/>
          </w:tcPr>
          <w:p w:rsidR="00E81FFA" w:rsidRPr="00F16C1F" w:rsidRDefault="00E81FFA" w:rsidP="00D76BA8">
            <w:pPr>
              <w:autoSpaceDN w:val="0"/>
              <w:spacing w:after="0" w:line="240" w:lineRule="auto"/>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   Бажарувчи:</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_____________________________________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_____________________________________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_____________________________________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Р/с:__________________________________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Банк реквизитлари: 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МФО ________________________________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ИНН: ________________________________</w:t>
            </w: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r w:rsidRPr="00F16C1F">
              <w:rPr>
                <w:rFonts w:ascii="Times New Roman" w:eastAsia="Calibri" w:hAnsi="Times New Roman" w:cs="Times New Roman"/>
                <w:sz w:val="16"/>
                <w:szCs w:val="16"/>
                <w:lang w:val="uz-Cyrl-UZ"/>
              </w:rPr>
              <w:t>ОКЭД: ___________________________</w:t>
            </w: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r w:rsidRPr="00F16C1F">
              <w:rPr>
                <w:rFonts w:ascii="Times New Roman" w:eastAsia="Calibri" w:hAnsi="Times New Roman" w:cs="Times New Roman"/>
                <w:b/>
                <w:sz w:val="16"/>
                <w:szCs w:val="16"/>
                <w:lang w:val="uz-Cyrl-UZ"/>
              </w:rPr>
              <w:t>Бажарувчи</w:t>
            </w:r>
            <w:r w:rsidRPr="00F16C1F">
              <w:rPr>
                <w:rFonts w:ascii="Times New Roman" w:eastAsia="Calibri" w:hAnsi="Times New Roman" w:cs="Times New Roman"/>
                <w:b/>
                <w:bCs/>
                <w:sz w:val="16"/>
                <w:szCs w:val="16"/>
                <w:lang w:val="uz-Cyrl-UZ"/>
              </w:rPr>
              <w:t>:</w:t>
            </w:r>
          </w:p>
          <w:p w:rsidR="00E81FFA" w:rsidRPr="00F16C1F" w:rsidRDefault="00E81FFA" w:rsidP="00D76BA8">
            <w:pPr>
              <w:autoSpaceDN w:val="0"/>
              <w:spacing w:after="0" w:line="240" w:lineRule="auto"/>
              <w:ind w:firstLine="567"/>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_____________ _____________________</w:t>
            </w:r>
          </w:p>
          <w:p w:rsidR="00E81FFA" w:rsidRPr="00F16C1F" w:rsidRDefault="00E81FFA" w:rsidP="00D76BA8">
            <w:pPr>
              <w:autoSpaceDN w:val="0"/>
              <w:spacing w:after="0" w:line="240" w:lineRule="auto"/>
              <w:ind w:firstLine="567"/>
              <w:jc w:val="both"/>
              <w:rPr>
                <w:rFonts w:ascii="Times New Roman" w:eastAsia="Calibri" w:hAnsi="Times New Roman" w:cs="Times New Roman"/>
                <w:sz w:val="16"/>
                <w:szCs w:val="16"/>
                <w:lang w:val="uz-Cyrl-UZ"/>
              </w:rPr>
            </w:pPr>
          </w:p>
        </w:tc>
        <w:tc>
          <w:tcPr>
            <w:tcW w:w="4820" w:type="dxa"/>
          </w:tcPr>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Буюртмачи:</w:t>
            </w:r>
          </w:p>
          <w:p w:rsidR="00E81FFA" w:rsidRPr="00105841" w:rsidRDefault="00E81FFA" w:rsidP="00D76BA8">
            <w:pPr>
              <w:autoSpaceDN w:val="0"/>
              <w:spacing w:after="0" w:line="240" w:lineRule="auto"/>
              <w:ind w:left="178"/>
              <w:jc w:val="both"/>
              <w:rPr>
                <w:rFonts w:ascii="Times New Roman" w:hAnsi="Times New Roman" w:cs="Times New Roman"/>
                <w:sz w:val="18"/>
                <w:szCs w:val="18"/>
                <w:lang w:val="uz-Cyrl-UZ"/>
              </w:rPr>
            </w:pPr>
            <w:r w:rsidRPr="00105841">
              <w:rPr>
                <w:rFonts w:ascii="Times New Roman" w:hAnsi="Times New Roman" w:cs="Times New Roman"/>
                <w:sz w:val="18"/>
                <w:szCs w:val="18"/>
                <w:lang w:val="uz-Cyrl-UZ"/>
              </w:rPr>
              <w:t>Ўзбекистон Бадиий академияси ҳузуридаги Бадиий таълим йўналишларида педагог ва мутахассис кадрларни қайта тайёрлаш ҳамда уларнинг малакасини ошириш маркази</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Р/с:</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Л/с:__________________________________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Банк реквизитлари: ____________________</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МФО 00014</w:t>
            </w:r>
          </w:p>
          <w:p w:rsidR="00E81FFA" w:rsidRPr="00F16C1F" w:rsidRDefault="00E81FFA" w:rsidP="00D76BA8">
            <w:pPr>
              <w:autoSpaceDN w:val="0"/>
              <w:spacing w:after="0" w:line="240" w:lineRule="auto"/>
              <w:ind w:left="178"/>
              <w:jc w:val="both"/>
              <w:rPr>
                <w:rFonts w:ascii="Times New Roman" w:eastAsia="Calibri" w:hAnsi="Times New Roman" w:cs="Times New Roman"/>
                <w:sz w:val="16"/>
                <w:szCs w:val="16"/>
                <w:lang w:val="uz-Cyrl-UZ"/>
              </w:rPr>
            </w:pPr>
            <w:r w:rsidRPr="00F16C1F">
              <w:rPr>
                <w:rFonts w:ascii="Times New Roman" w:eastAsia="Calibri" w:hAnsi="Times New Roman" w:cs="Times New Roman"/>
                <w:sz w:val="16"/>
                <w:szCs w:val="16"/>
                <w:lang w:val="uz-Cyrl-UZ"/>
              </w:rPr>
              <w:t xml:space="preserve">ИНН: </w:t>
            </w:r>
          </w:p>
          <w:p w:rsidR="00E81FFA" w:rsidRPr="00F16C1F" w:rsidRDefault="00E81FFA" w:rsidP="00D76BA8">
            <w:pPr>
              <w:autoSpaceDN w:val="0"/>
              <w:spacing w:after="0" w:line="240" w:lineRule="auto"/>
              <w:jc w:val="both"/>
              <w:rPr>
                <w:rFonts w:ascii="Times New Roman" w:eastAsia="Calibri" w:hAnsi="Times New Roman" w:cs="Times New Roman"/>
                <w:b/>
                <w:bCs/>
                <w:sz w:val="16"/>
                <w:szCs w:val="16"/>
                <w:lang w:val="uz-Cyrl-UZ"/>
              </w:rPr>
            </w:pPr>
            <w:r w:rsidRPr="00F16C1F">
              <w:rPr>
                <w:rFonts w:ascii="Times New Roman" w:eastAsia="Calibri" w:hAnsi="Times New Roman" w:cs="Times New Roman"/>
                <w:sz w:val="16"/>
                <w:szCs w:val="16"/>
                <w:lang w:val="uz-Cyrl-UZ"/>
              </w:rPr>
              <w:t xml:space="preserve">   ОКЭД: ___________________________</w:t>
            </w: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p>
          <w:p w:rsidR="00E81FFA" w:rsidRPr="00F16C1F" w:rsidRDefault="00E81FFA" w:rsidP="00D76BA8">
            <w:pPr>
              <w:autoSpaceDN w:val="0"/>
              <w:spacing w:after="0" w:line="240" w:lineRule="auto"/>
              <w:ind w:firstLine="567"/>
              <w:jc w:val="both"/>
              <w:rPr>
                <w:rFonts w:ascii="Times New Roman" w:eastAsia="Calibri" w:hAnsi="Times New Roman" w:cs="Times New Roman"/>
                <w:b/>
                <w:bCs/>
                <w:sz w:val="16"/>
                <w:szCs w:val="16"/>
                <w:lang w:val="uz-Cyrl-UZ"/>
              </w:rPr>
            </w:pPr>
            <w:r w:rsidRPr="00F16C1F">
              <w:rPr>
                <w:rFonts w:ascii="Times New Roman" w:eastAsia="Calibri" w:hAnsi="Times New Roman" w:cs="Times New Roman"/>
                <w:b/>
                <w:sz w:val="16"/>
                <w:szCs w:val="16"/>
                <w:lang w:val="uz-Cyrl-UZ"/>
              </w:rPr>
              <w:t>Буюртмачи</w:t>
            </w:r>
            <w:r w:rsidRPr="00F16C1F">
              <w:rPr>
                <w:rFonts w:ascii="Times New Roman" w:eastAsia="Calibri" w:hAnsi="Times New Roman" w:cs="Times New Roman"/>
                <w:b/>
                <w:bCs/>
                <w:sz w:val="16"/>
                <w:szCs w:val="16"/>
                <w:lang w:val="uz-Cyrl-UZ"/>
              </w:rPr>
              <w:t>:</w:t>
            </w:r>
          </w:p>
          <w:p w:rsidR="00E81FFA" w:rsidRPr="00F16C1F" w:rsidRDefault="00E81FFA" w:rsidP="00D76BA8">
            <w:pPr>
              <w:autoSpaceDN w:val="0"/>
              <w:spacing w:after="0" w:line="240" w:lineRule="auto"/>
              <w:ind w:firstLine="567"/>
              <w:jc w:val="both"/>
              <w:rPr>
                <w:rFonts w:ascii="Times New Roman" w:eastAsia="Calibri" w:hAnsi="Times New Roman" w:cs="Times New Roman"/>
                <w:sz w:val="16"/>
                <w:szCs w:val="16"/>
                <w:lang w:val="uz-Cyrl-UZ"/>
              </w:rPr>
            </w:pPr>
          </w:p>
        </w:tc>
      </w:tr>
    </w:tbl>
    <w:p w:rsidR="00E81FFA" w:rsidRPr="00F16C1F" w:rsidRDefault="00E81FFA" w:rsidP="00E81FFA">
      <w:pPr>
        <w:autoSpaceDN w:val="0"/>
        <w:spacing w:after="0" w:line="264" w:lineRule="auto"/>
        <w:rPr>
          <w:rFonts w:ascii="Times New Roman" w:eastAsia="Calibri" w:hAnsi="Times New Roman" w:cs="Times New Roman"/>
          <w:b/>
          <w:sz w:val="16"/>
          <w:szCs w:val="16"/>
          <w:lang w:val="uz-Cyrl-UZ"/>
        </w:rPr>
      </w:pPr>
    </w:p>
    <w:p w:rsidR="00F819B3" w:rsidRDefault="00F819B3">
      <w:bookmarkStart w:id="0" w:name="_GoBack"/>
      <w:bookmarkEnd w:id="0"/>
    </w:p>
    <w:sectPr w:rsidR="00F819B3" w:rsidSect="003C6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D6348C"/>
    <w:rsid w:val="0027308D"/>
    <w:rsid w:val="003C6D2C"/>
    <w:rsid w:val="00D6348C"/>
    <w:rsid w:val="00E265F4"/>
    <w:rsid w:val="00E81FFA"/>
    <w:rsid w:val="00F81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uiPriority w:val="34"/>
    <w:qFormat/>
    <w:rsid w:val="00E81FFA"/>
    <w:pPr>
      <w:spacing w:after="160" w:line="256"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uiPriority w:val="34"/>
    <w:qFormat/>
    <w:rsid w:val="00E81FFA"/>
    <w:pPr>
      <w:spacing w:after="160" w:line="256" w:lineRule="auto"/>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2022-06-10T11:25:00Z</dcterms:created>
  <dcterms:modified xsi:type="dcterms:W3CDTF">2022-06-10T11:26:00Z</dcterms:modified>
</cp:coreProperties>
</file>