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C7ED" w14:textId="7007B3CD" w:rsidR="00851221" w:rsidRPr="00FE200C" w:rsidRDefault="00851221" w:rsidP="00851221">
      <w:pPr>
        <w:pStyle w:val="1"/>
        <w:jc w:val="center"/>
        <w:rPr>
          <w:rFonts w:ascii="Times New Roman" w:hAnsi="Times New Roman"/>
          <w:b/>
          <w:sz w:val="24"/>
          <w:szCs w:val="24"/>
        </w:rPr>
      </w:pPr>
      <w:bookmarkStart w:id="0" w:name="_GoBack"/>
      <w:bookmarkEnd w:id="0"/>
      <w:r w:rsidRPr="00FE200C">
        <w:rPr>
          <w:rFonts w:ascii="Times New Roman" w:hAnsi="Times New Roman"/>
          <w:b/>
          <w:sz w:val="24"/>
          <w:szCs w:val="24"/>
        </w:rPr>
        <w:t xml:space="preserve">№ </w:t>
      </w:r>
      <w:r w:rsidR="00996E75">
        <w:rPr>
          <w:rFonts w:ascii="Times New Roman" w:hAnsi="Times New Roman"/>
          <w:b/>
          <w:sz w:val="24"/>
          <w:szCs w:val="24"/>
          <w:lang w:val="uz-Cyrl-UZ"/>
        </w:rPr>
        <w:t xml:space="preserve">   </w:t>
      </w:r>
      <w:r w:rsidR="007402D8">
        <w:rPr>
          <w:rFonts w:ascii="Times New Roman" w:hAnsi="Times New Roman"/>
          <w:b/>
          <w:sz w:val="24"/>
          <w:szCs w:val="24"/>
          <w:lang w:val="uz-Cyrl-UZ"/>
        </w:rPr>
        <w:t xml:space="preserve">    </w:t>
      </w:r>
      <w:r w:rsidRPr="00FE200C">
        <w:rPr>
          <w:rFonts w:ascii="Times New Roman" w:hAnsi="Times New Roman"/>
          <w:b/>
          <w:sz w:val="24"/>
          <w:szCs w:val="24"/>
        </w:rPr>
        <w:t xml:space="preserve">  </w:t>
      </w:r>
      <w:proofErr w:type="spellStart"/>
      <w:r w:rsidRPr="00FE200C">
        <w:rPr>
          <w:rFonts w:ascii="Times New Roman" w:hAnsi="Times New Roman"/>
          <w:b/>
          <w:sz w:val="24"/>
          <w:szCs w:val="24"/>
        </w:rPr>
        <w:t>сонли</w:t>
      </w:r>
      <w:proofErr w:type="spellEnd"/>
    </w:p>
    <w:p w14:paraId="59D0A56B" w14:textId="77777777" w:rsidR="00851221" w:rsidRPr="00FE200C" w:rsidRDefault="00851221" w:rsidP="00851221">
      <w:pPr>
        <w:pStyle w:val="1"/>
        <w:jc w:val="center"/>
        <w:rPr>
          <w:rFonts w:ascii="Times New Roman" w:hAnsi="Times New Roman"/>
          <w:b/>
          <w:sz w:val="24"/>
          <w:szCs w:val="24"/>
        </w:rPr>
      </w:pPr>
      <w:proofErr w:type="spellStart"/>
      <w:r w:rsidRPr="00FE200C">
        <w:rPr>
          <w:rFonts w:ascii="Times New Roman" w:hAnsi="Times New Roman"/>
          <w:b/>
          <w:sz w:val="24"/>
          <w:szCs w:val="24"/>
        </w:rPr>
        <w:t>Лойиха</w:t>
      </w:r>
      <w:proofErr w:type="spellEnd"/>
      <w:r w:rsidRPr="00FE200C">
        <w:rPr>
          <w:rFonts w:ascii="Times New Roman" w:hAnsi="Times New Roman"/>
          <w:b/>
          <w:sz w:val="24"/>
          <w:szCs w:val="24"/>
        </w:rPr>
        <w:t xml:space="preserve">-смета </w:t>
      </w:r>
      <w:proofErr w:type="spellStart"/>
      <w:r w:rsidRPr="00FE200C">
        <w:rPr>
          <w:rFonts w:ascii="Times New Roman" w:hAnsi="Times New Roman"/>
          <w:b/>
          <w:sz w:val="24"/>
          <w:szCs w:val="24"/>
        </w:rPr>
        <w:t>хужжатлари</w:t>
      </w:r>
      <w:proofErr w:type="spellEnd"/>
      <w:r w:rsidRPr="00FE200C">
        <w:rPr>
          <w:rFonts w:ascii="Times New Roman" w:hAnsi="Times New Roman"/>
          <w:b/>
          <w:sz w:val="24"/>
          <w:szCs w:val="24"/>
        </w:rPr>
        <w:t xml:space="preserve"> </w:t>
      </w:r>
      <w:proofErr w:type="spellStart"/>
      <w:r w:rsidRPr="00FE200C">
        <w:rPr>
          <w:rFonts w:ascii="Times New Roman" w:hAnsi="Times New Roman"/>
          <w:b/>
          <w:sz w:val="24"/>
          <w:szCs w:val="24"/>
        </w:rPr>
        <w:t>тузиш</w:t>
      </w:r>
      <w:proofErr w:type="spellEnd"/>
    </w:p>
    <w:p w14:paraId="3466CDF1" w14:textId="77777777" w:rsidR="00851221" w:rsidRPr="00FE200C" w:rsidRDefault="00851221" w:rsidP="00851221">
      <w:pPr>
        <w:pStyle w:val="1"/>
        <w:jc w:val="center"/>
        <w:rPr>
          <w:rFonts w:ascii="Times New Roman" w:hAnsi="Times New Roman"/>
          <w:b/>
          <w:sz w:val="24"/>
          <w:szCs w:val="24"/>
        </w:rPr>
      </w:pPr>
      <w:r w:rsidRPr="00FE200C">
        <w:rPr>
          <w:rFonts w:ascii="Times New Roman" w:hAnsi="Times New Roman"/>
          <w:b/>
          <w:sz w:val="24"/>
          <w:szCs w:val="24"/>
        </w:rPr>
        <w:t xml:space="preserve"> </w:t>
      </w:r>
      <w:proofErr w:type="spellStart"/>
      <w:r w:rsidRPr="00FE200C">
        <w:rPr>
          <w:rFonts w:ascii="Times New Roman" w:hAnsi="Times New Roman"/>
          <w:b/>
          <w:sz w:val="24"/>
          <w:szCs w:val="24"/>
        </w:rPr>
        <w:t>шартномаси</w:t>
      </w:r>
      <w:proofErr w:type="spellEnd"/>
    </w:p>
    <w:p w14:paraId="66F768BF" w14:textId="77777777" w:rsidR="00851221" w:rsidRPr="00FE200C" w:rsidRDefault="00851221" w:rsidP="00851221">
      <w:pPr>
        <w:pStyle w:val="1"/>
        <w:jc w:val="center"/>
        <w:rPr>
          <w:rFonts w:ascii="Times New Roman" w:hAnsi="Times New Roman"/>
          <w:b/>
          <w:sz w:val="24"/>
          <w:szCs w:val="24"/>
        </w:rPr>
      </w:pPr>
    </w:p>
    <w:p w14:paraId="3C7A4B31" w14:textId="77777777" w:rsidR="00851221" w:rsidRPr="00FE200C" w:rsidRDefault="005D0BF6" w:rsidP="00851221">
      <w:pPr>
        <w:pStyle w:val="1"/>
        <w:jc w:val="both"/>
        <w:rPr>
          <w:rFonts w:ascii="Times New Roman" w:hAnsi="Times New Roman"/>
          <w:b/>
          <w:sz w:val="24"/>
          <w:szCs w:val="24"/>
          <w:lang w:val="uz-Cyrl-UZ"/>
        </w:rPr>
      </w:pPr>
      <w:r w:rsidRPr="002E5EE0">
        <w:rPr>
          <w:rFonts w:ascii="Times New Roman" w:hAnsi="Times New Roman"/>
          <w:b/>
          <w:sz w:val="24"/>
          <w:szCs w:val="24"/>
        </w:rPr>
        <w:t xml:space="preserve"> ____/_____/2022</w:t>
      </w:r>
      <w:r w:rsidR="00851221" w:rsidRPr="00FE200C">
        <w:rPr>
          <w:rFonts w:ascii="Times New Roman" w:hAnsi="Times New Roman"/>
          <w:b/>
          <w:sz w:val="24"/>
          <w:szCs w:val="24"/>
        </w:rPr>
        <w:t xml:space="preserve"> </w:t>
      </w:r>
      <w:proofErr w:type="spellStart"/>
      <w:r w:rsidR="00851221" w:rsidRPr="00FE200C">
        <w:rPr>
          <w:rFonts w:ascii="Times New Roman" w:hAnsi="Times New Roman"/>
          <w:b/>
          <w:sz w:val="24"/>
          <w:szCs w:val="24"/>
        </w:rPr>
        <w:t>йил</w:t>
      </w:r>
      <w:proofErr w:type="spellEnd"/>
      <w:r w:rsidR="00851221">
        <w:rPr>
          <w:rFonts w:ascii="Times New Roman" w:hAnsi="Times New Roman"/>
          <w:b/>
          <w:sz w:val="24"/>
          <w:szCs w:val="24"/>
        </w:rPr>
        <w:t xml:space="preserve"> </w:t>
      </w:r>
      <w:r w:rsidR="00851221" w:rsidRPr="00FE200C">
        <w:rPr>
          <w:rFonts w:ascii="Times New Roman" w:hAnsi="Times New Roman"/>
          <w:b/>
          <w:sz w:val="24"/>
          <w:szCs w:val="24"/>
        </w:rPr>
        <w:tab/>
        <w:t xml:space="preserve">  </w:t>
      </w:r>
      <w:r w:rsidR="00851221">
        <w:rPr>
          <w:rFonts w:ascii="Times New Roman" w:hAnsi="Times New Roman"/>
          <w:b/>
          <w:sz w:val="24"/>
          <w:szCs w:val="24"/>
        </w:rPr>
        <w:t xml:space="preserve">    </w:t>
      </w:r>
      <w:r w:rsidR="00851221" w:rsidRPr="00FE200C">
        <w:rPr>
          <w:rFonts w:ascii="Times New Roman" w:hAnsi="Times New Roman"/>
          <w:b/>
          <w:sz w:val="24"/>
          <w:szCs w:val="24"/>
        </w:rPr>
        <w:tab/>
      </w:r>
      <w:r w:rsidR="00851221" w:rsidRPr="00FE200C">
        <w:rPr>
          <w:rFonts w:ascii="Times New Roman" w:hAnsi="Times New Roman"/>
          <w:b/>
          <w:sz w:val="24"/>
          <w:szCs w:val="24"/>
        </w:rPr>
        <w:tab/>
      </w:r>
      <w:r w:rsidR="00851221" w:rsidRPr="00FE200C">
        <w:rPr>
          <w:rFonts w:ascii="Times New Roman" w:hAnsi="Times New Roman"/>
          <w:b/>
          <w:sz w:val="24"/>
          <w:szCs w:val="24"/>
        </w:rPr>
        <w:tab/>
      </w:r>
      <w:r w:rsidR="00851221">
        <w:rPr>
          <w:rFonts w:ascii="Times New Roman" w:hAnsi="Times New Roman"/>
          <w:b/>
          <w:sz w:val="24"/>
          <w:szCs w:val="24"/>
        </w:rPr>
        <w:t xml:space="preserve">       </w:t>
      </w:r>
      <w:r w:rsidR="00851221" w:rsidRPr="00A24C7E">
        <w:rPr>
          <w:rFonts w:ascii="Times New Roman" w:hAnsi="Times New Roman"/>
          <w:b/>
          <w:sz w:val="24"/>
          <w:szCs w:val="24"/>
        </w:rPr>
        <w:t xml:space="preserve">        </w:t>
      </w:r>
      <w:r w:rsidR="00851221">
        <w:rPr>
          <w:rFonts w:ascii="Times New Roman" w:hAnsi="Times New Roman"/>
          <w:b/>
          <w:sz w:val="24"/>
          <w:szCs w:val="24"/>
          <w:lang w:val="uz-Cyrl-UZ"/>
        </w:rPr>
        <w:t xml:space="preserve">                 </w:t>
      </w:r>
      <w:r w:rsidR="00851221" w:rsidRPr="00A24C7E">
        <w:rPr>
          <w:rFonts w:ascii="Times New Roman" w:hAnsi="Times New Roman"/>
          <w:b/>
          <w:sz w:val="24"/>
          <w:szCs w:val="24"/>
        </w:rPr>
        <w:t xml:space="preserve">      </w:t>
      </w:r>
      <w:r w:rsidR="00851221">
        <w:rPr>
          <w:rFonts w:ascii="Times New Roman" w:hAnsi="Times New Roman"/>
          <w:b/>
          <w:sz w:val="24"/>
          <w:szCs w:val="24"/>
        </w:rPr>
        <w:t xml:space="preserve">       </w:t>
      </w:r>
      <w:proofErr w:type="gramStart"/>
      <w:r w:rsidR="00851221" w:rsidRPr="00FE200C">
        <w:rPr>
          <w:rFonts w:ascii="Times New Roman" w:hAnsi="Times New Roman"/>
          <w:b/>
          <w:sz w:val="24"/>
          <w:szCs w:val="24"/>
          <w:lang w:val="uz-Cyrl-UZ"/>
        </w:rPr>
        <w:t>Қарши  шахри</w:t>
      </w:r>
      <w:proofErr w:type="gramEnd"/>
    </w:p>
    <w:p w14:paraId="3AA36E8B" w14:textId="77777777" w:rsidR="00851221" w:rsidRPr="00FE200C" w:rsidRDefault="00851221" w:rsidP="00851221">
      <w:pPr>
        <w:pStyle w:val="1"/>
        <w:jc w:val="both"/>
        <w:rPr>
          <w:rFonts w:ascii="Times New Roman" w:hAnsi="Times New Roman"/>
          <w:b/>
          <w:sz w:val="24"/>
          <w:szCs w:val="24"/>
          <w:lang w:val="uz-Cyrl-UZ"/>
        </w:rPr>
      </w:pPr>
    </w:p>
    <w:p w14:paraId="2AD498DF" w14:textId="642E9BF3" w:rsidR="00851221" w:rsidRPr="00832542" w:rsidRDefault="00851221" w:rsidP="00851221">
      <w:pPr>
        <w:jc w:val="both"/>
        <w:rPr>
          <w:lang w:val="uz-Cyrl-UZ"/>
        </w:rPr>
      </w:pPr>
      <w:r>
        <w:rPr>
          <w:lang w:val="uz-Cyrl-UZ"/>
        </w:rPr>
        <w:t xml:space="preserve">             </w:t>
      </w:r>
      <w:r w:rsidRPr="00FE200C">
        <w:rPr>
          <w:lang w:val="uz-Cyrl-UZ"/>
        </w:rPr>
        <w:t xml:space="preserve">Келгуси ўринларда “Буюртмачи” деб юритиладиган ва Устав асосида фаолият кўрсатадиган </w:t>
      </w:r>
      <w:r w:rsidRPr="004B6B5A">
        <w:rPr>
          <w:lang w:val="uz-Cyrl-UZ"/>
        </w:rPr>
        <w:t xml:space="preserve"> </w:t>
      </w:r>
      <w:r w:rsidR="00E325AA">
        <w:rPr>
          <w:lang w:val="uz-Cyrl-UZ"/>
        </w:rPr>
        <w:t>“Узсувтаъминот” АЖ</w:t>
      </w:r>
      <w:r w:rsidRPr="00A24C7E">
        <w:rPr>
          <w:lang w:val="uz-Cyrl-UZ"/>
        </w:rPr>
        <w:t xml:space="preserve"> «</w:t>
      </w:r>
      <w:r>
        <w:rPr>
          <w:lang w:val="uz-Cyrl-UZ"/>
        </w:rPr>
        <w:t>Сув таъминоти ва окова сув объектлари курилиши буйича инжиниринг компанияси</w:t>
      </w:r>
      <w:r w:rsidRPr="00A24C7E">
        <w:rPr>
          <w:lang w:val="uz-Cyrl-UZ"/>
        </w:rPr>
        <w:t>»</w:t>
      </w:r>
      <w:r>
        <w:rPr>
          <w:lang w:val="uz-Cyrl-UZ"/>
        </w:rPr>
        <w:t xml:space="preserve"> УК Кашкадарё вилояти худудий бошкармаси (кейинги уринларда “Буюртмачи” деб юритилади) директори </w:t>
      </w:r>
      <w:r w:rsidR="00572395">
        <w:rPr>
          <w:lang w:val="uz-Cyrl-UZ"/>
        </w:rPr>
        <w:t>И.Кузиев</w:t>
      </w:r>
      <w:r>
        <w:rPr>
          <w:lang w:val="uz-Cyrl-UZ"/>
        </w:rPr>
        <w:t xml:space="preserve"> </w:t>
      </w:r>
      <w:r w:rsidRPr="00DC0EBD">
        <w:rPr>
          <w:lang w:val="uz-Cyrl-UZ"/>
        </w:rPr>
        <w:t>б</w:t>
      </w:r>
      <w:r w:rsidRPr="00FE200C">
        <w:rPr>
          <w:lang w:val="uz-Cyrl-UZ"/>
        </w:rPr>
        <w:t xml:space="preserve">ир томондан, </w:t>
      </w:r>
      <w:r w:rsidRPr="00FE200C">
        <w:rPr>
          <w:rFonts w:ascii="Arial" w:hAnsi="Arial" w:cs="Arial"/>
          <w:lang w:val="uz-Cyrl-UZ"/>
        </w:rPr>
        <w:t>ҳ</w:t>
      </w:r>
      <w:r w:rsidRPr="00FE200C">
        <w:rPr>
          <w:lang w:val="uz-Cyrl-UZ"/>
        </w:rPr>
        <w:t xml:space="preserve">амда келгуси ўринларда “Пудратчи” деб юритиладиган ва Устав асосида фаолият кўрсатадиган  </w:t>
      </w:r>
      <w:r w:rsidRPr="0096680B">
        <w:rPr>
          <w:b/>
          <w:lang w:val="uz-Cyrl-UZ"/>
        </w:rPr>
        <w:t>«</w:t>
      </w:r>
      <w:r w:rsidR="007402D8" w:rsidRPr="007402D8">
        <w:rPr>
          <w:b/>
          <w:lang w:val="uz-Cyrl-UZ"/>
        </w:rPr>
        <w:t>__________________________</w:t>
      </w:r>
      <w:r w:rsidRPr="00FE200C">
        <w:rPr>
          <w:b/>
          <w:lang w:val="uz-Cyrl-UZ"/>
        </w:rPr>
        <w:t>»</w:t>
      </w:r>
      <w:r w:rsidRPr="00CE72E6">
        <w:rPr>
          <w:b/>
          <w:lang w:val="uz-Cyrl-UZ"/>
        </w:rPr>
        <w:t xml:space="preserve"> </w:t>
      </w:r>
      <w:r w:rsidR="007402D8" w:rsidRPr="007402D8">
        <w:rPr>
          <w:b/>
          <w:lang w:val="uz-Cyrl-UZ"/>
        </w:rPr>
        <w:t>___________</w:t>
      </w:r>
      <w:r w:rsidR="00AD1922">
        <w:rPr>
          <w:b/>
          <w:lang w:val="uz-Cyrl-UZ"/>
        </w:rPr>
        <w:t xml:space="preserve"> </w:t>
      </w:r>
      <w:r w:rsidRPr="00FE200C">
        <w:rPr>
          <w:lang w:val="uz-Cyrl-UZ"/>
        </w:rPr>
        <w:t xml:space="preserve">унинг директори </w:t>
      </w:r>
      <w:r w:rsidR="007402D8" w:rsidRPr="007402D8">
        <w:rPr>
          <w:lang w:val="uz-Cyrl-UZ"/>
        </w:rPr>
        <w:t>___________________</w:t>
      </w:r>
      <w:r w:rsidR="002B039B">
        <w:rPr>
          <w:lang w:val="uz-Cyrl-UZ"/>
        </w:rPr>
        <w:t xml:space="preserve"> </w:t>
      </w:r>
      <w:r w:rsidRPr="00FE200C">
        <w:rPr>
          <w:lang w:val="uz-Cyrl-UZ"/>
        </w:rPr>
        <w:t xml:space="preserve">иккинчи томондан, </w:t>
      </w:r>
      <w:r w:rsidRPr="00A24C7E">
        <w:rPr>
          <w:lang w:val="uz-Cyrl-UZ"/>
        </w:rPr>
        <w:t>«</w:t>
      </w:r>
      <w:r>
        <w:rPr>
          <w:lang w:val="uz-Cyrl-UZ"/>
        </w:rPr>
        <w:t>Сув таъминоти ва окова сув объектлари курилиши буйича инжиниринг компанияси</w:t>
      </w:r>
      <w:r w:rsidRPr="00A24C7E">
        <w:rPr>
          <w:lang w:val="uz-Cyrl-UZ"/>
        </w:rPr>
        <w:t>»</w:t>
      </w:r>
      <w:r>
        <w:rPr>
          <w:lang w:val="uz-Cyrl-UZ"/>
        </w:rPr>
        <w:t xml:space="preserve"> УК Кашкадарё вилояти худудий бошкармасининг </w:t>
      </w:r>
      <w:r w:rsidR="007402D8" w:rsidRPr="007402D8">
        <w:rPr>
          <w:lang w:val="uz-Cyrl-UZ"/>
        </w:rPr>
        <w:t>________________</w:t>
      </w:r>
      <w:r w:rsidR="00D72017">
        <w:rPr>
          <w:lang w:val="uz-Cyrl-UZ"/>
        </w:rPr>
        <w:t xml:space="preserve"> </w:t>
      </w:r>
      <w:r w:rsidR="00310B95">
        <w:rPr>
          <w:lang w:val="uz-Cyrl-UZ"/>
        </w:rPr>
        <w:t xml:space="preserve"> йил  </w:t>
      </w:r>
      <w:r w:rsidR="00993E74">
        <w:rPr>
          <w:lang w:val="uz-Cyrl-UZ"/>
        </w:rPr>
        <w:t xml:space="preserve">электрон тендер(танлов) баёнига кура </w:t>
      </w:r>
      <w:r w:rsidR="003C3EA6">
        <w:rPr>
          <w:lang w:val="uz-Cyrl-UZ"/>
        </w:rPr>
        <w:t xml:space="preserve">(лот раками </w:t>
      </w:r>
      <w:r w:rsidR="005F7BA9">
        <w:rPr>
          <w:lang w:val="uz-Cyrl-UZ"/>
        </w:rPr>
        <w:t xml:space="preserve"> №</w:t>
      </w:r>
      <w:r w:rsidR="007402D8" w:rsidRPr="007402D8">
        <w:rPr>
          <w:lang w:val="uz-Cyrl-UZ"/>
        </w:rPr>
        <w:t>__________</w:t>
      </w:r>
      <w:r w:rsidR="005F7BA9">
        <w:rPr>
          <w:lang w:val="uz-Cyrl-UZ"/>
        </w:rPr>
        <w:t xml:space="preserve">) </w:t>
      </w:r>
      <w:r w:rsidR="007402D8" w:rsidRPr="007402D8">
        <w:rPr>
          <w:b/>
          <w:lang w:val="uz-Cyrl-UZ"/>
        </w:rPr>
        <w:t>_________________________</w:t>
      </w:r>
      <w:r w:rsidRPr="00FE200C">
        <w:rPr>
          <w:lang w:val="uz-Cyrl-UZ"/>
        </w:rPr>
        <w:t xml:space="preserve">учун  </w:t>
      </w:r>
      <w:r w:rsidR="00310B95">
        <w:rPr>
          <w:lang w:val="uz-Cyrl-UZ"/>
        </w:rPr>
        <w:t xml:space="preserve">лойиха </w:t>
      </w:r>
      <w:r w:rsidRPr="00FE200C">
        <w:rPr>
          <w:lang w:val="uz-Cyrl-UZ"/>
        </w:rPr>
        <w:t xml:space="preserve"> шартномасини туздилар.</w:t>
      </w:r>
    </w:p>
    <w:p w14:paraId="38F97CB4" w14:textId="77777777" w:rsidR="00851221" w:rsidRPr="00832542" w:rsidRDefault="00851221" w:rsidP="00851221">
      <w:pPr>
        <w:jc w:val="both"/>
        <w:rPr>
          <w:lang w:val="uz-Cyrl-UZ"/>
        </w:rPr>
      </w:pPr>
    </w:p>
    <w:p w14:paraId="5631C920" w14:textId="77777777" w:rsidR="00851221" w:rsidRPr="00832542" w:rsidRDefault="00851221" w:rsidP="00851221">
      <w:pPr>
        <w:pStyle w:val="1"/>
        <w:numPr>
          <w:ilvl w:val="0"/>
          <w:numId w:val="1"/>
        </w:numPr>
        <w:jc w:val="center"/>
        <w:rPr>
          <w:rFonts w:ascii="Times New Roman" w:hAnsi="Times New Roman"/>
          <w:b/>
          <w:sz w:val="24"/>
          <w:szCs w:val="24"/>
          <w:lang w:val="uz-Cyrl-UZ"/>
        </w:rPr>
      </w:pPr>
      <w:r w:rsidRPr="00FE200C">
        <w:rPr>
          <w:rFonts w:ascii="Times New Roman" w:hAnsi="Times New Roman"/>
          <w:b/>
          <w:sz w:val="24"/>
          <w:szCs w:val="24"/>
          <w:lang w:val="uz-Cyrl-UZ"/>
        </w:rPr>
        <w:t>Шартноманинг мазмуни</w:t>
      </w:r>
    </w:p>
    <w:p w14:paraId="4EFDB242" w14:textId="77777777" w:rsidR="00851221" w:rsidRPr="00FE200C" w:rsidRDefault="00851221" w:rsidP="00851221">
      <w:pPr>
        <w:pStyle w:val="1"/>
        <w:ind w:left="284"/>
        <w:rPr>
          <w:rFonts w:ascii="Times New Roman" w:hAnsi="Times New Roman"/>
          <w:b/>
          <w:sz w:val="24"/>
          <w:szCs w:val="24"/>
          <w:lang w:val="uz-Cyrl-UZ"/>
        </w:rPr>
      </w:pPr>
    </w:p>
    <w:p w14:paraId="75AC5B73" w14:textId="714464CE" w:rsidR="00851221" w:rsidRPr="00FE200C" w:rsidRDefault="00851221" w:rsidP="00851221">
      <w:pPr>
        <w:jc w:val="both"/>
        <w:rPr>
          <w:lang w:val="uz-Cyrl-UZ"/>
        </w:rPr>
      </w:pPr>
      <w:r w:rsidRPr="00FE200C">
        <w:rPr>
          <w:lang w:val="uz-Cyrl-UZ"/>
        </w:rPr>
        <w:t>1.1. “Буюртмачи” топшириғига асосан “</w:t>
      </w:r>
      <w:r w:rsidR="00310B95">
        <w:rPr>
          <w:lang w:val="uz-Cyrl-UZ"/>
        </w:rPr>
        <w:t>Лойихачи</w:t>
      </w:r>
      <w:r w:rsidRPr="00FE200C">
        <w:rPr>
          <w:lang w:val="uz-Cyrl-UZ"/>
        </w:rPr>
        <w:t>”</w:t>
      </w:r>
      <w:r w:rsidRPr="006813FE">
        <w:rPr>
          <w:b/>
          <w:lang w:val="uz-Cyrl-UZ"/>
        </w:rPr>
        <w:t xml:space="preserve"> </w:t>
      </w:r>
      <w:r w:rsidR="007402D8" w:rsidRPr="007402D8">
        <w:rPr>
          <w:b/>
          <w:lang w:val="uz-Cyrl-UZ"/>
        </w:rPr>
        <w:t>______________________________________</w:t>
      </w:r>
      <w:r w:rsidRPr="00FE200C">
        <w:rPr>
          <w:lang w:val="uz-Cyrl-UZ"/>
        </w:rPr>
        <w:t>ўз зиммасига олади.</w:t>
      </w:r>
    </w:p>
    <w:p w14:paraId="703D43EF" w14:textId="77777777" w:rsidR="00851221" w:rsidRPr="00FE200C" w:rsidRDefault="00851221" w:rsidP="00851221">
      <w:pPr>
        <w:jc w:val="both"/>
        <w:rPr>
          <w:lang w:val="uz-Cyrl-UZ"/>
        </w:rPr>
      </w:pPr>
      <w:r w:rsidRPr="00FE200C">
        <w:rPr>
          <w:lang w:val="uz-Cyrl-UZ"/>
        </w:rPr>
        <w:t xml:space="preserve">1.2. “Пудратчи” лойиха ишларини “корхона, бино ва иншоотлари қурилишига лойиха-смета хужжатларининг таркиби, ишлаб чиқиш тартиби ва тасдиқлаш” хақидаги </w:t>
      </w:r>
      <w:r w:rsidRPr="00FE200C">
        <w:rPr>
          <w:b/>
          <w:lang w:val="uz-Cyrl-UZ"/>
        </w:rPr>
        <w:t xml:space="preserve">ШНК 1.03.01-03, </w:t>
      </w:r>
      <w:r w:rsidRPr="00FE200C">
        <w:rPr>
          <w:lang w:val="uz-Cyrl-UZ"/>
        </w:rPr>
        <w:t xml:space="preserve">“Қурилишда жорий шартномавий бахоларни аниқлаш тартиби” тўғрисидаги </w:t>
      </w:r>
      <w:r w:rsidRPr="00FE200C">
        <w:rPr>
          <w:b/>
          <w:lang w:val="uz-Cyrl-UZ"/>
        </w:rPr>
        <w:t>ШНК 4.01.16-04</w:t>
      </w:r>
      <w:r w:rsidRPr="00FE200C">
        <w:rPr>
          <w:lang w:val="uz-Cyrl-UZ"/>
        </w:rPr>
        <w:t xml:space="preserve"> ва лойихага қуйиладиган меёрий талабларни қоида ва қўлланмалар асосида бажарилишини таъминлайди.</w:t>
      </w:r>
    </w:p>
    <w:p w14:paraId="79641D15"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1.3.Бажариладиган ишларга илмий, техник, иқтисодий ва бошқа талабларни бажариш лойихалаш топшириқномасида кўрсатилади.</w:t>
      </w:r>
    </w:p>
    <w:p w14:paraId="10BCB92D"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1.4. Ишларнинг бажарилиш муддати танлов баённомаси асосида белгиланади ва мазкур шартноманинг ажралмас қисми хисобланади.</w:t>
      </w:r>
    </w:p>
    <w:p w14:paraId="3318A148"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1.5. “Пудратчи” махсус лойиха ишларига ёрдамчи пудратчи ташкилотлар билан қўшимча шартнома тузишга хақлидир. Қўшимча шартномаларни тузиш “Пудратчи”нинг зиммасига юклатилган мазкур шартноманинг шартларини бажариш жавобгарлигидан озод этмайди.</w:t>
      </w:r>
    </w:p>
    <w:p w14:paraId="52F007E5" w14:textId="77777777" w:rsidR="00851221" w:rsidRPr="00C71340" w:rsidRDefault="00851221" w:rsidP="00851221">
      <w:pPr>
        <w:pStyle w:val="1"/>
        <w:numPr>
          <w:ilvl w:val="1"/>
          <w:numId w:val="2"/>
        </w:numPr>
        <w:jc w:val="both"/>
        <w:rPr>
          <w:rFonts w:ascii="Times New Roman" w:hAnsi="Times New Roman"/>
          <w:sz w:val="24"/>
          <w:szCs w:val="24"/>
          <w:lang w:val="uz-Cyrl-UZ"/>
        </w:rPr>
      </w:pPr>
      <w:r w:rsidRPr="00FE200C">
        <w:rPr>
          <w:rFonts w:ascii="Times New Roman" w:hAnsi="Times New Roman"/>
          <w:sz w:val="24"/>
          <w:szCs w:val="24"/>
          <w:lang w:val="uz-Cyrl-UZ"/>
        </w:rPr>
        <w:t xml:space="preserve"> Хўжалик шартнома шартларини бир томонлама ўзгартиришга рухсат этилмайди.</w:t>
      </w:r>
    </w:p>
    <w:p w14:paraId="5D6BB3A2" w14:textId="77777777" w:rsidR="00851221" w:rsidRPr="00FE200C" w:rsidRDefault="00851221" w:rsidP="00851221">
      <w:pPr>
        <w:pStyle w:val="1"/>
        <w:jc w:val="both"/>
        <w:rPr>
          <w:rFonts w:ascii="Times New Roman" w:hAnsi="Times New Roman"/>
          <w:sz w:val="24"/>
          <w:szCs w:val="24"/>
          <w:lang w:val="uz-Cyrl-UZ"/>
        </w:rPr>
      </w:pPr>
    </w:p>
    <w:p w14:paraId="07D726B8" w14:textId="77777777" w:rsidR="00851221" w:rsidRPr="003B6628" w:rsidRDefault="00851221" w:rsidP="00851221">
      <w:pPr>
        <w:pStyle w:val="1"/>
        <w:numPr>
          <w:ilvl w:val="0"/>
          <w:numId w:val="2"/>
        </w:numPr>
        <w:jc w:val="center"/>
        <w:rPr>
          <w:rFonts w:ascii="Times New Roman" w:hAnsi="Times New Roman"/>
          <w:b/>
          <w:sz w:val="24"/>
          <w:szCs w:val="24"/>
          <w:lang w:val="uz-Cyrl-UZ"/>
        </w:rPr>
      </w:pPr>
      <w:r w:rsidRPr="00FE200C">
        <w:rPr>
          <w:rFonts w:ascii="Times New Roman" w:hAnsi="Times New Roman"/>
          <w:b/>
          <w:sz w:val="24"/>
          <w:szCs w:val="24"/>
          <w:lang w:val="uz-Cyrl-UZ"/>
        </w:rPr>
        <w:t>Томонларнинг мажбуриятлари</w:t>
      </w:r>
    </w:p>
    <w:p w14:paraId="63F524A7" w14:textId="77777777" w:rsidR="00851221" w:rsidRPr="00FE200C" w:rsidRDefault="00851221" w:rsidP="00851221">
      <w:pPr>
        <w:pStyle w:val="1"/>
        <w:rPr>
          <w:rFonts w:ascii="Times New Roman" w:hAnsi="Times New Roman"/>
          <w:b/>
          <w:sz w:val="24"/>
          <w:szCs w:val="24"/>
          <w:lang w:val="uz-Cyrl-UZ"/>
        </w:rPr>
      </w:pPr>
    </w:p>
    <w:p w14:paraId="4E8C0344"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                    а) “Пудратчи”нинг мажбуриятлари</w:t>
      </w:r>
    </w:p>
    <w:p w14:paraId="6C66376B"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2.1. “Пудратчи” “Буюртмачи” томонидан берилган лойихалаш топшириқномаси ва архитектура режалаштириш топшириқномаси асосида лойиха ишларини бажаради.;</w:t>
      </w:r>
    </w:p>
    <w:p w14:paraId="2868FD68"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2.2. “Пудратчи” мазкур шартнома бўйича бажарилган ишларни “Буюртмачи”нинг рухсатисиз учинчи шахсга беришга ҳақли эмас.</w:t>
      </w:r>
    </w:p>
    <w:p w14:paraId="5ECE4A3C"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2.3. Лойиха ишларини бажарилишини танлов баённомасида кўрсатилган муддатда таъминлайди;</w:t>
      </w:r>
    </w:p>
    <w:p w14:paraId="2B02B644"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2.4. “Пудратчи” томонидан тайёрланган лойиха асосида хисобланган сметадаги физик иш ҳажмлар, материал ресурслар миқдори тўғрилиги (лойихага мослиги) учун жавобгарликни ўз зиммасига олади ва ойма-ой бажарилган ишлар тўғрисида “Буюртмачи”га келишилган жадвал асосида хисобот топшириб туради.</w:t>
      </w:r>
    </w:p>
    <w:p w14:paraId="221719B5" w14:textId="77777777" w:rsidR="00851221"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                 б) “Буюртмачи”нинг мажбуриятлари:</w:t>
      </w:r>
    </w:p>
    <w:p w14:paraId="6B4207C6"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2.5. Пудратчига иш хажмларини бажарилишига керакли архитектура режалаштириш топшириқномасини тақдим этади;</w:t>
      </w:r>
    </w:p>
    <w:p w14:paraId="5F311AA8"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2.6. Бажарилган лойиха ишларидан шартномада кўзда тутилган мақсадда фойдаланади;</w:t>
      </w:r>
    </w:p>
    <w:p w14:paraId="79D8963D"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lastRenderedPageBreak/>
        <w:t>2.7. Пудратчи томонидан бажарилаётган лойиха ишлари ва кўрсатилаётган хизматларнинг сифатини кузатиб боради;</w:t>
      </w:r>
    </w:p>
    <w:p w14:paraId="0508A1FE"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2.8. “Буюртмачи” маблағ билан таъминловчи ташкилотларга бажарилган лойиха ишларининг хажми тўғрисида хисоботларни ўз вақтида топширилишини таъминлайди.</w:t>
      </w:r>
    </w:p>
    <w:p w14:paraId="373B3C41" w14:textId="77777777" w:rsidR="00851221" w:rsidRPr="00ED5D13" w:rsidRDefault="00851221" w:rsidP="00851221">
      <w:pPr>
        <w:jc w:val="center"/>
        <w:rPr>
          <w:b/>
          <w:lang w:val="uz-Cyrl-UZ"/>
        </w:rPr>
      </w:pPr>
      <w:r w:rsidRPr="00FE200C">
        <w:rPr>
          <w:b/>
          <w:lang w:val="uz-Cyrl-UZ"/>
        </w:rPr>
        <w:t>3. Шартнома бўйича ишлар қиймати</w:t>
      </w:r>
    </w:p>
    <w:p w14:paraId="76835F2E" w14:textId="212C3002" w:rsidR="00851221" w:rsidRDefault="00851221" w:rsidP="002750EB">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3.1. Мазкур  шартнома  буйича  Пудратчи томонидан бажариладиган тасдикланган ишлар  киймати  барча  соликлар,  йигимлар  ва  ажратмаларни  уз  ичида олган холда жорий нархларда </w:t>
      </w:r>
      <w:r w:rsidR="0050613D">
        <w:rPr>
          <w:rFonts w:ascii="Times New Roman" w:hAnsi="Times New Roman"/>
          <w:sz w:val="24"/>
          <w:szCs w:val="24"/>
          <w:lang w:val="uz-Cyrl-UZ"/>
        </w:rPr>
        <w:t xml:space="preserve"> </w:t>
      </w:r>
      <w:r w:rsidR="007402D8" w:rsidRPr="007402D8">
        <w:rPr>
          <w:rFonts w:ascii="Times New Roman" w:hAnsi="Times New Roman"/>
          <w:sz w:val="24"/>
          <w:szCs w:val="24"/>
          <w:lang w:val="uz-Cyrl-UZ"/>
        </w:rPr>
        <w:t>_______________________</w:t>
      </w:r>
      <w:r>
        <w:rPr>
          <w:rFonts w:ascii="Times New Roman" w:hAnsi="Times New Roman"/>
          <w:sz w:val="24"/>
          <w:szCs w:val="24"/>
          <w:lang w:val="uz-Cyrl-UZ"/>
        </w:rPr>
        <w:t xml:space="preserve"> (</w:t>
      </w:r>
      <w:r w:rsidR="007402D8" w:rsidRPr="007402D8">
        <w:rPr>
          <w:rFonts w:ascii="Times New Roman" w:hAnsi="Times New Roman"/>
          <w:sz w:val="24"/>
          <w:szCs w:val="24"/>
          <w:lang w:val="uz-Cyrl-UZ"/>
        </w:rPr>
        <w:t>______________________________</w:t>
      </w:r>
      <w:r w:rsidRPr="00ED5D13">
        <w:rPr>
          <w:rFonts w:ascii="Times New Roman" w:hAnsi="Times New Roman"/>
          <w:sz w:val="26"/>
          <w:szCs w:val="26"/>
          <w:u w:val="single"/>
          <w:lang w:val="uz-Cyrl-UZ"/>
        </w:rPr>
        <w:t xml:space="preserve"> </w:t>
      </w:r>
      <w:r>
        <w:rPr>
          <w:rFonts w:ascii="Times New Roman" w:hAnsi="Times New Roman"/>
          <w:sz w:val="26"/>
          <w:szCs w:val="26"/>
          <w:u w:val="single"/>
          <w:lang w:val="uz-Cyrl-UZ"/>
        </w:rPr>
        <w:t>)</w:t>
      </w:r>
      <w:r w:rsidRPr="00FE200C">
        <w:rPr>
          <w:rFonts w:ascii="Times New Roman" w:hAnsi="Times New Roman"/>
          <w:b/>
          <w:sz w:val="24"/>
          <w:szCs w:val="24"/>
          <w:lang w:val="uz-Cyrl-UZ"/>
        </w:rPr>
        <w:t xml:space="preserve"> </w:t>
      </w:r>
      <w:r w:rsidRPr="00FE200C">
        <w:rPr>
          <w:rFonts w:ascii="Times New Roman" w:hAnsi="Times New Roman"/>
          <w:sz w:val="24"/>
          <w:szCs w:val="24"/>
          <w:lang w:val="uz-Cyrl-UZ"/>
        </w:rPr>
        <w:t>с</w:t>
      </w:r>
      <w:r>
        <w:rPr>
          <w:rFonts w:ascii="Times New Roman" w:hAnsi="Times New Roman"/>
          <w:sz w:val="24"/>
          <w:szCs w:val="24"/>
          <w:lang w:val="uz-Cyrl-UZ"/>
        </w:rPr>
        <w:t>ў</w:t>
      </w:r>
      <w:r w:rsidRPr="00FE200C">
        <w:rPr>
          <w:rFonts w:ascii="Times New Roman" w:hAnsi="Times New Roman"/>
          <w:sz w:val="24"/>
          <w:szCs w:val="24"/>
          <w:lang w:val="uz-Cyrl-UZ"/>
        </w:rPr>
        <w:t xml:space="preserve">мни ташкил этади. </w:t>
      </w:r>
    </w:p>
    <w:p w14:paraId="28E75230" w14:textId="77777777"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3.2. “Буюртмачи” “Пудратчи” ни мазкур шартнома бўйича олдиндан </w:t>
      </w:r>
      <w:r w:rsidR="00D72017">
        <w:rPr>
          <w:rFonts w:ascii="Times New Roman" w:hAnsi="Times New Roman"/>
          <w:sz w:val="24"/>
          <w:szCs w:val="24"/>
          <w:lang w:val="uz-Cyrl-UZ"/>
        </w:rPr>
        <w:t>15</w:t>
      </w:r>
      <w:r>
        <w:rPr>
          <w:rFonts w:ascii="Times New Roman" w:hAnsi="Times New Roman"/>
          <w:sz w:val="24"/>
          <w:szCs w:val="24"/>
          <w:lang w:val="uz-Cyrl-UZ"/>
        </w:rPr>
        <w:t xml:space="preserve"> фоиз миқдорида бунак  (</w:t>
      </w:r>
      <w:r w:rsidRPr="00FE200C">
        <w:rPr>
          <w:rFonts w:ascii="Times New Roman" w:hAnsi="Times New Roman"/>
          <w:sz w:val="24"/>
          <w:szCs w:val="24"/>
          <w:lang w:val="uz-Cyrl-UZ"/>
        </w:rPr>
        <w:t>аванс) маблағлари билан таъминлайди. Белгиланган маблағлар билан таъминлаш “Буюртмачи” ни шу мақсадлар учун тегишли органлар (вилоят молия бошқармаси) томонидан молиялаштирилгандан кейин 10 кун муддатда амалга оширилади. Бажарилган ишлар учун молиялаштиришнинг қолган қисми мазкур ишлар сифатли қилиб бажарилиб далолатномалар асосида қабул қилингандан кейин босқичма-босқич амалга оширилади.</w:t>
      </w:r>
    </w:p>
    <w:p w14:paraId="4D48B342" w14:textId="77777777"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3.3. “Пудратчи” томонидан ишлаб чиқилган қурилишга сарфланадиган моддий техника ресурслари миқдари ва қурилиш муддати узил-кесил ҳисобланади ва қайта кўриб чиқилмайди, айрим ҳоллар бундан мустасно, яъни:</w:t>
      </w:r>
    </w:p>
    <w:p w14:paraId="7911D12D" w14:textId="77777777"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3.3.1. Ишларни бажариш ва хизмат кўрсатиш қиймати ва муддатини ўсишига ёки шу параметрлардан бирига бартараф этиб бўлмайдиган кучлар (форс-мажор холати) сабаб бўлса.</w:t>
      </w:r>
    </w:p>
    <w:p w14:paraId="3B92A242" w14:textId="77777777" w:rsidR="00851221" w:rsidRDefault="00851221" w:rsidP="00851221">
      <w:pPr>
        <w:pStyle w:val="1"/>
        <w:rPr>
          <w:rFonts w:ascii="Times New Roman" w:hAnsi="Times New Roman"/>
          <w:sz w:val="24"/>
          <w:szCs w:val="24"/>
        </w:rPr>
      </w:pPr>
      <w:r w:rsidRPr="00FE200C">
        <w:rPr>
          <w:rFonts w:ascii="Times New Roman" w:hAnsi="Times New Roman"/>
          <w:sz w:val="24"/>
          <w:szCs w:val="24"/>
          <w:lang w:val="uz-Cyrl-UZ"/>
        </w:rPr>
        <w:t>3.3.2. “Буюртмачи” томонидан иш ҳажмларига ўзгартириш киритилганда.</w:t>
      </w:r>
    </w:p>
    <w:p w14:paraId="0367A203" w14:textId="77777777" w:rsidR="00851221" w:rsidRDefault="00851221" w:rsidP="00851221">
      <w:pPr>
        <w:pStyle w:val="1"/>
        <w:rPr>
          <w:rFonts w:ascii="Times New Roman" w:hAnsi="Times New Roman"/>
          <w:sz w:val="24"/>
          <w:szCs w:val="24"/>
        </w:rPr>
      </w:pPr>
      <w:r w:rsidRPr="00FE200C">
        <w:rPr>
          <w:rFonts w:ascii="Times New Roman" w:hAnsi="Times New Roman"/>
          <w:sz w:val="24"/>
          <w:szCs w:val="24"/>
          <w:lang w:val="uz-Cyrl-UZ"/>
        </w:rPr>
        <w:t>3.3.3.  Ишларни бажариш, хизмати кўрсатиш муддати бир йилдан ортиқ  бўлганда.</w:t>
      </w:r>
    </w:p>
    <w:p w14:paraId="39BEED03" w14:textId="77777777" w:rsidR="00851221" w:rsidRDefault="00851221" w:rsidP="00851221">
      <w:pPr>
        <w:pStyle w:val="1"/>
        <w:rPr>
          <w:rFonts w:ascii="Times New Roman" w:hAnsi="Times New Roman"/>
          <w:sz w:val="24"/>
          <w:szCs w:val="24"/>
        </w:rPr>
      </w:pPr>
      <w:r w:rsidRPr="00FE200C">
        <w:rPr>
          <w:rFonts w:ascii="Times New Roman" w:hAnsi="Times New Roman"/>
          <w:sz w:val="24"/>
          <w:szCs w:val="24"/>
          <w:lang w:val="uz-Cyrl-UZ"/>
        </w:rPr>
        <w:t>3.3.4. Асослаб берилган ҳолда, юқорида қайд этилган ўзгартиришлар “Буюртмачи” ва “Пудратчи” ўртасида қўшимча келишув билан расмийлаштирилади.</w:t>
      </w:r>
    </w:p>
    <w:p w14:paraId="6C974E19" w14:textId="77777777" w:rsidR="00851221" w:rsidRDefault="00851221" w:rsidP="00851221">
      <w:pPr>
        <w:pStyle w:val="1"/>
        <w:jc w:val="center"/>
        <w:rPr>
          <w:rFonts w:ascii="Times New Roman" w:hAnsi="Times New Roman"/>
          <w:b/>
          <w:sz w:val="24"/>
          <w:szCs w:val="24"/>
        </w:rPr>
      </w:pPr>
      <w:r w:rsidRPr="00FE200C">
        <w:rPr>
          <w:rFonts w:ascii="Times New Roman" w:hAnsi="Times New Roman"/>
          <w:b/>
          <w:sz w:val="24"/>
          <w:szCs w:val="24"/>
          <w:lang w:val="uz-Cyrl-UZ"/>
        </w:rPr>
        <w:t>4. Ишларни топшириш ва қабул қилиш тартиби</w:t>
      </w:r>
    </w:p>
    <w:p w14:paraId="039C1643"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4.1. Бажариган ишлар ШНК 1.03.01-03 ва “Буюртмачи” томонидан тасдиқланган лойихалаш топшириқ талаблари асосида қабул қилинади.</w:t>
      </w:r>
    </w:p>
    <w:p w14:paraId="160EC183"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4.2. “Пудратчи” ишларни бажариб бўлгач, “Буюртмачи” га техник топшириқда кўрсатилганидек топшириш-қабул қилиш далолатномаси билан биргаликда илова қилиб  3 та нусхада лойиха смета ҳужжатлари комплектини тақдим этади.</w:t>
      </w:r>
    </w:p>
    <w:p w14:paraId="4F2288C5"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4.3. “Буюртмачи” мазкур шартноманинг 4.2.- бандида кўрсатилганидек, топшириш-қабул қилиш далолатномасини ва ҳисобот ҳужжатларида бажарилган ишларни 5 кун мобайнида қабул қилиш мажбуриятини олади ва “Пудратчи” га имзоланган, ёки асосли эътироз билдирилган топшириш-қабул қилиш далолатномасини жўнатади.</w:t>
      </w:r>
    </w:p>
    <w:p w14:paraId="7AE5C0A9" w14:textId="77777777"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4.4. Бажарилган ишларини топшириш-қабул қилиш давомида “Буюртмачи”нинг асосли эътирози бўлса, камчиликларнинг рўйхати ва уларни бартараф этишнинг аниқ муддатини белгиловчи икки томонлама жараёнида кейинчалик уни давом эттириш мақсадга мувофиқ эмаслиги маълум бўлиб қолса, томонлар 5 кун мобайнида бир-бирларини ишлар тўхтатилганлиги ҳақида хабардор қилишлари шарт ва 10 кун мобайнида ишларни давом эттириш учун мақсадга мувофиқ бўлган йўналишларни ойдинлаштирувчи масалаларни кўриб чиқишлари керак. “Буюртмачи” ушбу ҳолатда “Пудратчи” га амалда бажарилган лойиха ишининг ҳаражатларини мазкур шартноманинг 3.3.2 ва 3.3.4 бандларига асосан амалга оширади.</w:t>
      </w:r>
    </w:p>
    <w:p w14:paraId="5B1CFE17" w14:textId="77777777" w:rsidR="00851221" w:rsidRPr="00ED5D13" w:rsidRDefault="00851221" w:rsidP="00851221">
      <w:pPr>
        <w:pStyle w:val="1"/>
        <w:jc w:val="center"/>
        <w:rPr>
          <w:rFonts w:ascii="Times New Roman" w:hAnsi="Times New Roman"/>
          <w:b/>
          <w:sz w:val="24"/>
          <w:szCs w:val="24"/>
          <w:lang w:val="uz-Cyrl-UZ"/>
        </w:rPr>
      </w:pPr>
      <w:r w:rsidRPr="00FE200C">
        <w:rPr>
          <w:rFonts w:ascii="Times New Roman" w:hAnsi="Times New Roman"/>
          <w:b/>
          <w:sz w:val="24"/>
          <w:szCs w:val="24"/>
          <w:lang w:val="uz-Cyrl-UZ"/>
        </w:rPr>
        <w:t>5-модда. Томонларнинг жавобгарлиги</w:t>
      </w:r>
    </w:p>
    <w:p w14:paraId="024CAB60"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5.3. Тўлов талабномасини асоссиз равишда тўла ёки қисман рад этганлик, шунингдек ҳисоб-китобларнинг бошқа шакллардаги ишларга ҳақ тўлашдан бош тортганлиги (Газначилик бошкармасига тўлов топшириқномасини тақдим этмаслик, чек бермаслик, аккредитив қўймаслик ва хокозо) учун, “Буюртмачи” тўловдан бош тортган ёки рад этган суммасининг 0.04 фоиз ҳажмида “Пудратчи” га жарима тўлайди. Аммо бунда, умумий сумма бажарилмаган и</w:t>
      </w:r>
      <w:r>
        <w:rPr>
          <w:rFonts w:ascii="Times New Roman" w:hAnsi="Times New Roman"/>
          <w:sz w:val="24"/>
          <w:szCs w:val="24"/>
          <w:lang w:val="uz-Cyrl-UZ"/>
        </w:rPr>
        <w:t>ш ёки кўрсатилмаган хизматнинг 2</w:t>
      </w:r>
      <w:r w:rsidRPr="00FE200C">
        <w:rPr>
          <w:rFonts w:ascii="Times New Roman" w:hAnsi="Times New Roman"/>
          <w:sz w:val="24"/>
          <w:szCs w:val="24"/>
          <w:lang w:val="uz-Cyrl-UZ"/>
        </w:rPr>
        <w:t>0 фоиздан ошмаслиги керак.</w:t>
      </w:r>
    </w:p>
    <w:p w14:paraId="52572E62"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5.4. “Буюртмачи” олган мажбуриятини бузганлиги учун мазкур шартноманинг 4.3 моддасига асосан у “Пудратчи”га ўтказиб юборилган хар бир кун учун мажбуриятнинг </w:t>
      </w:r>
      <w:r w:rsidRPr="00FE200C">
        <w:rPr>
          <w:rFonts w:ascii="Times New Roman" w:hAnsi="Times New Roman"/>
          <w:sz w:val="24"/>
          <w:szCs w:val="24"/>
          <w:lang w:val="uz-Cyrl-UZ"/>
        </w:rPr>
        <w:lastRenderedPageBreak/>
        <w:t>и</w:t>
      </w:r>
      <w:r>
        <w:rPr>
          <w:rFonts w:ascii="Times New Roman" w:hAnsi="Times New Roman"/>
          <w:sz w:val="24"/>
          <w:szCs w:val="24"/>
          <w:lang w:val="uz-Cyrl-UZ"/>
        </w:rPr>
        <w:t>жро этилмай қолган қисмининг 0,</w:t>
      </w:r>
      <w:r w:rsidRPr="00FE200C">
        <w:rPr>
          <w:rFonts w:ascii="Times New Roman" w:hAnsi="Times New Roman"/>
          <w:sz w:val="24"/>
          <w:szCs w:val="24"/>
          <w:lang w:val="uz-Cyrl-UZ"/>
        </w:rPr>
        <w:t>4 фоиз хажмида жарима тўлайди. Аммо бунда, умумий сумма бажарилмаган и</w:t>
      </w:r>
      <w:r>
        <w:rPr>
          <w:rFonts w:ascii="Times New Roman" w:hAnsi="Times New Roman"/>
          <w:sz w:val="24"/>
          <w:szCs w:val="24"/>
          <w:lang w:val="uz-Cyrl-UZ"/>
        </w:rPr>
        <w:t>ш ёки кўрсатилмаган хизматнинг 5</w:t>
      </w:r>
      <w:r w:rsidRPr="00FE200C">
        <w:rPr>
          <w:rFonts w:ascii="Times New Roman" w:hAnsi="Times New Roman"/>
          <w:sz w:val="24"/>
          <w:szCs w:val="24"/>
          <w:lang w:val="uz-Cyrl-UZ"/>
        </w:rPr>
        <w:t>0 фоиздан ортиб кетмаслиги керак.</w:t>
      </w:r>
    </w:p>
    <w:p w14:paraId="759B3B65"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5.5. “Пудратчи” ишларини бажаришда, хизмат кўрсатишда олган мажбуриятларини бузганлиги учун ўтказиб юборилган хар бир кун учун мажбуриятнинг ижро этилмай қолган қисмининг </w:t>
      </w:r>
      <w:r>
        <w:rPr>
          <w:rFonts w:ascii="Times New Roman" w:hAnsi="Times New Roman"/>
          <w:b/>
          <w:sz w:val="24"/>
          <w:szCs w:val="24"/>
          <w:lang w:val="uz-Cyrl-UZ"/>
        </w:rPr>
        <w:t>0,</w:t>
      </w:r>
      <w:r w:rsidRPr="00FE200C">
        <w:rPr>
          <w:rFonts w:ascii="Times New Roman" w:hAnsi="Times New Roman"/>
          <w:b/>
          <w:sz w:val="24"/>
          <w:szCs w:val="24"/>
          <w:lang w:val="uz-Cyrl-UZ"/>
        </w:rPr>
        <w:t xml:space="preserve">5 </w:t>
      </w:r>
      <w:r w:rsidRPr="00FE200C">
        <w:rPr>
          <w:rFonts w:ascii="Times New Roman" w:hAnsi="Times New Roman"/>
          <w:sz w:val="24"/>
          <w:szCs w:val="24"/>
          <w:lang w:val="uz-Cyrl-UZ"/>
        </w:rPr>
        <w:t>фоиз ҳажмида жарима тўлайди. Аммо бунда умумий сумма бажарилмаган иш ёки кўрсатилмаган хизматнинг 50 фоиздан ортиб кетмаслиги керак. Пеня тўлаш шартнома (контракт) мажбуриятини бузган томонни кечиктириб бажарган иши ёки кўрсатган хизмати оқибатида келтирилган зарарни қоплашдан озод этмайди.</w:t>
      </w:r>
    </w:p>
    <w:p w14:paraId="5F4281B5"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5.6. “Пудратчи” томонидан тайёрланган лойиха смета хужжатларида нуқсонлар (тайёрланган смета хужжатларидаги иш хажмларини лойихага мос келмаслиги) аниқланса “Пудратчи” камчиликларни ўз хисобидан тўғриланишини таъминлайди ёки тақдим этилган лойиха смета хужжатларида қўпол хатоликларга йўл қўйилган бўлса Ўзбекистон Республикасининг амалдаги қонунларида белгиланган тартибда жавобгарликка тортилади.</w:t>
      </w:r>
    </w:p>
    <w:p w14:paraId="1576EBE0"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5.7. Агар содир бўлишига томонларнинг хеч бири жавоб бермайдиган (форс-мажор) холлар юзага келса, томонлар ўз харакатларида Ўзбекистон Республикаси қонунчилик меъёрларига суянадилар.</w:t>
      </w:r>
    </w:p>
    <w:p w14:paraId="0E43B22A"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5.8. Агар бажарилган ишлар, кўрсатилган хизматлар керакли сифатга, техник шартларга ва мажбурият шартларига мос келмаса, “Буюртмачи” бажарилган ишларга хақ тўлашдан бош тортишга хақли. “Пудратчи” дан сифатга жавоб бермайдиган иш қийматининг 0,5 фоизи пеня жарима ундиришга хақли, бироқ бунда пенянинг умумий суммаси шартнома қийматининг 50 фоизидан ошмаслиги лозим. Агар бажарилган ишларга, кўрсатилган хизматларга хақ тўлаб қўйилган бўлса, белгиланган тартибда тўланган суммани қайтаришни талаб қилишга хақли.</w:t>
      </w:r>
    </w:p>
    <w:p w14:paraId="5616BB2A"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    Жарима хисоби тўлов талабномаси банк муассасига сифати, ассортименти ва нави лозим даражада бўлмаган бажарилган ишлар хақида далолатнома тузилганидан кейин 10 кундан кечикмай тақдим этилиши лозим. Жарима хисоби тўлов талабномаси белгиланган 10 кунлик муддатни бузган тарзда тақдим этилса, жаримани ундириш белгиланган тартибда амалга оширилади.</w:t>
      </w:r>
    </w:p>
    <w:p w14:paraId="41172628"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5.9 «ШНК 1.03.01-03»нинг 1.13 бандига асосан иншоотнинг лойиха-смета хужжатларида кабул килинган техник иктисодий ечимлар, физик иш хажмларининг тугрилиги ва курилиш материаллари учун кулланиладиган бирлик нархларининг тугрилиги ва хакконийлиги учун Лойиха ташкилоти тулик  жавоб беришлари, агарда курилиш ишларига тендер савдолари утказилгандан сунг курилиш жараёнида лойиха хужжатларида аникланган хато ва камчиликлар киймати аникланса, ушбу камчиликларни тугрилаш учун кетадиган барча харажатлар лойиха ташкилотлари томонидан тулик копланилади.</w:t>
      </w:r>
    </w:p>
    <w:p w14:paraId="301F9596"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5.10. Шартномани ижро этмаганлиги ёки етарли даражада бажармаганлиги учун, жавобгарлик агар шартномада ўзгача кўзда тутилмаган бўлса, Ўзбекистон Республикаси “Хўжалик юритувчи субъектлар фаолиятининг шартномавий-хуқуқий базаси тўғрисида”ги қонунининг 25-32-моддаларига асосан жавобгарлик чоралари қўлланилади.</w:t>
      </w:r>
    </w:p>
    <w:p w14:paraId="46BA7927" w14:textId="77777777"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5.10-а. Томонлар уртасида низолар ва келишмовчиликлар юз берган холатларда  жавобгар томон жойлашган худуддаги</w:t>
      </w:r>
      <w:r>
        <w:rPr>
          <w:rFonts w:ascii="Times New Roman" w:hAnsi="Times New Roman"/>
          <w:sz w:val="24"/>
          <w:szCs w:val="24"/>
          <w:lang w:val="uz-Cyrl-UZ"/>
        </w:rPr>
        <w:t xml:space="preserve"> иқтисодий</w:t>
      </w:r>
      <w:r w:rsidRPr="00FE200C">
        <w:rPr>
          <w:rFonts w:ascii="Times New Roman" w:hAnsi="Times New Roman"/>
          <w:sz w:val="24"/>
          <w:szCs w:val="24"/>
          <w:lang w:val="uz-Cyrl-UZ"/>
        </w:rPr>
        <w:t xml:space="preserve"> судига мурожаат килинади.</w:t>
      </w:r>
    </w:p>
    <w:p w14:paraId="7AC6A8F4" w14:textId="77777777" w:rsidR="00851221" w:rsidRDefault="00851221" w:rsidP="00851221">
      <w:pPr>
        <w:pStyle w:val="1"/>
        <w:jc w:val="center"/>
        <w:rPr>
          <w:rFonts w:ascii="Times New Roman" w:hAnsi="Times New Roman"/>
          <w:b/>
          <w:sz w:val="24"/>
          <w:szCs w:val="24"/>
          <w:lang w:val="uz-Cyrl-UZ"/>
        </w:rPr>
      </w:pPr>
      <w:r w:rsidRPr="00FE200C">
        <w:rPr>
          <w:rFonts w:ascii="Times New Roman" w:hAnsi="Times New Roman"/>
          <w:b/>
          <w:sz w:val="24"/>
          <w:szCs w:val="24"/>
          <w:lang w:val="uz-Cyrl-UZ"/>
        </w:rPr>
        <w:t>6. Бартараф этиб бўлмайдиган куч холати (форс-мажор)</w:t>
      </w:r>
    </w:p>
    <w:p w14:paraId="324C8609"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6.1. Агар томонлар мажбуриятларининг қисман ёки тўла ижро этилмай қолиши табиий ходисалар, харбий харакатлар ва бошқа бартараф этиб бўлмайдиган кучлар сабаблар содир бўлган бўлса, хамда бу холат мазкур шартнома (контракт) ижросига бевосита таъсир кўрсатган бўлса, томонлар мазкур шартнома (контракт) бўйича мажбуриятларнинг қисман ёки тўла ижро этилмай қолгани учун жавобгарликдан озод бўладилар.</w:t>
      </w:r>
    </w:p>
    <w:p w14:paraId="3CBEE89A"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    Мазкур шартнома бўйича мажбуриятларнинг ижро муддати бартараф этиб бўлмайдиган вазият, келтириб чиқарган оқибат хукм сурган вақтга мос равишда орқага сурилади.</w:t>
      </w:r>
    </w:p>
    <w:p w14:paraId="02EE33EA"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6.2. Агар бартараф бўлмайдиган куч вазияти ёки унинг оқибатлари 3 ойдан ортиқ вақтга чўзиладиган бўлса, “Пудратчи” ва “Буюртмачи” ишни давом эттириш ёки номаълум вақтга тўхтатиш учун чора тадбирлар кўришни мухокама қиладилар.</w:t>
      </w:r>
    </w:p>
    <w:p w14:paraId="074A54EE" w14:textId="77777777"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lastRenderedPageBreak/>
        <w:t xml:space="preserve">    Агар томонлар 2 ой мобайнида бир тўхтамга кела олмасалар, томонларнинг хар қайсиси шартномани бекор қилинишини талаб қилишга хақлидир.</w:t>
      </w:r>
    </w:p>
    <w:p w14:paraId="49A8D56D" w14:textId="77777777" w:rsidR="00851221" w:rsidRPr="00ED5D13" w:rsidRDefault="00851221" w:rsidP="00851221">
      <w:pPr>
        <w:pStyle w:val="1"/>
        <w:jc w:val="center"/>
        <w:rPr>
          <w:rFonts w:ascii="Times New Roman" w:hAnsi="Times New Roman"/>
          <w:b/>
          <w:sz w:val="24"/>
          <w:szCs w:val="24"/>
          <w:lang w:val="uz-Cyrl-UZ"/>
        </w:rPr>
      </w:pPr>
      <w:r w:rsidRPr="00FE200C">
        <w:rPr>
          <w:rFonts w:ascii="Times New Roman" w:hAnsi="Times New Roman"/>
          <w:b/>
          <w:sz w:val="24"/>
          <w:szCs w:val="24"/>
          <w:lang w:val="uz-Cyrl-UZ"/>
        </w:rPr>
        <w:t>7. Қўшимча шартлар</w:t>
      </w:r>
    </w:p>
    <w:p w14:paraId="6D109273" w14:textId="77777777" w:rsidR="00851221"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7.1.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шартномавий-хуқуқий базаси тўғрисида”ги қонунига, хамда Ўзбекистон Республикаси Фуқаролик кодексига асосан белгиланади.</w:t>
      </w:r>
    </w:p>
    <w:p w14:paraId="2FCF2ADB" w14:textId="261788A8" w:rsidR="002750EB" w:rsidRPr="005D07E8" w:rsidRDefault="002750EB" w:rsidP="002750EB">
      <w:pPr>
        <w:pStyle w:val="1"/>
        <w:jc w:val="both"/>
        <w:rPr>
          <w:rFonts w:ascii="Times New Roman" w:hAnsi="Times New Roman"/>
          <w:sz w:val="24"/>
          <w:szCs w:val="24"/>
          <w:lang w:val="uz-Cyrl-UZ"/>
        </w:rPr>
      </w:pPr>
      <w:r>
        <w:rPr>
          <w:rFonts w:ascii="Times New Roman" w:hAnsi="Times New Roman"/>
          <w:sz w:val="24"/>
          <w:szCs w:val="24"/>
          <w:lang w:val="uz-Cyrl-UZ"/>
        </w:rPr>
        <w:t xml:space="preserve">7.2. Қолган </w:t>
      </w:r>
      <w:r w:rsidR="007402D8">
        <w:rPr>
          <w:rFonts w:ascii="Times New Roman" w:hAnsi="Times New Roman"/>
          <w:sz w:val="24"/>
          <w:szCs w:val="24"/>
          <w:lang w:val="uz-Cyrl-UZ"/>
        </w:rPr>
        <w:t xml:space="preserve">   </w:t>
      </w:r>
      <w:r w:rsidR="007402D8" w:rsidRPr="007402D8">
        <w:rPr>
          <w:rFonts w:ascii="Times New Roman" w:hAnsi="Times New Roman"/>
          <w:sz w:val="24"/>
          <w:szCs w:val="24"/>
          <w:lang w:val="uz-Cyrl-UZ"/>
        </w:rPr>
        <w:t xml:space="preserve">                        </w:t>
      </w:r>
      <w:r w:rsidR="007402D8">
        <w:rPr>
          <w:rFonts w:ascii="Times New Roman" w:hAnsi="Times New Roman"/>
          <w:sz w:val="24"/>
          <w:szCs w:val="24"/>
          <w:lang w:val="uz-Cyrl-UZ"/>
        </w:rPr>
        <w:t xml:space="preserve">         </w:t>
      </w:r>
      <w:r>
        <w:rPr>
          <w:rFonts w:ascii="Times New Roman" w:hAnsi="Times New Roman"/>
          <w:sz w:val="24"/>
          <w:szCs w:val="24"/>
          <w:lang w:val="uz-Cyrl-UZ"/>
        </w:rPr>
        <w:t xml:space="preserve">( </w:t>
      </w:r>
      <w:r w:rsidR="007402D8" w:rsidRPr="007402D8">
        <w:rPr>
          <w:rFonts w:ascii="Times New Roman" w:hAnsi="Times New Roman"/>
          <w:sz w:val="24"/>
          <w:szCs w:val="24"/>
          <w:lang w:val="uz-Cyrl-UZ"/>
        </w:rPr>
        <w:t>____________________________</w:t>
      </w:r>
      <w:r>
        <w:rPr>
          <w:rFonts w:ascii="Times New Roman" w:hAnsi="Times New Roman"/>
          <w:sz w:val="24"/>
          <w:szCs w:val="24"/>
          <w:lang w:val="uz-Cyrl-UZ"/>
        </w:rPr>
        <w:t>) сум маблагни  2022 йил манзилий дастурга асосан  тўлаб беришга келишилди.</w:t>
      </w:r>
    </w:p>
    <w:p w14:paraId="39ABEEBF" w14:textId="77777777" w:rsidR="00851221" w:rsidRPr="006813FE" w:rsidRDefault="00851221" w:rsidP="00851221">
      <w:pPr>
        <w:pStyle w:val="1"/>
        <w:jc w:val="center"/>
        <w:rPr>
          <w:rFonts w:ascii="Times New Roman" w:hAnsi="Times New Roman"/>
          <w:b/>
          <w:sz w:val="24"/>
          <w:szCs w:val="24"/>
        </w:rPr>
      </w:pPr>
      <w:r w:rsidRPr="00FE200C">
        <w:rPr>
          <w:rFonts w:ascii="Times New Roman" w:hAnsi="Times New Roman"/>
          <w:b/>
          <w:sz w:val="24"/>
          <w:szCs w:val="24"/>
          <w:lang w:val="uz-Cyrl-UZ"/>
        </w:rPr>
        <w:t>8. Шартноманинг амал қилиш муддати ва шартлари</w:t>
      </w:r>
    </w:p>
    <w:p w14:paraId="13F2F167"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8.1. Мазкур шартнома томонлар имзолангандан кейин кучга киради ва унинг шартлари тўлиқ бажариб бўлгунча хақиқий хисобланади.</w:t>
      </w:r>
    </w:p>
    <w:p w14:paraId="6A23B1FD"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8.2. мазкур шартноманинг амал қилиш муддати 31 декабр 20</w:t>
      </w:r>
      <w:r w:rsidR="00ED3A3E">
        <w:rPr>
          <w:rFonts w:ascii="Times New Roman" w:hAnsi="Times New Roman"/>
          <w:sz w:val="24"/>
          <w:szCs w:val="24"/>
        </w:rPr>
        <w:t>2</w:t>
      </w:r>
      <w:r w:rsidR="00ED3A3E">
        <w:rPr>
          <w:rFonts w:ascii="Times New Roman" w:hAnsi="Times New Roman"/>
          <w:sz w:val="24"/>
          <w:szCs w:val="24"/>
          <w:lang w:val="uz-Cyrl-UZ"/>
        </w:rPr>
        <w:t>2</w:t>
      </w:r>
      <w:r w:rsidRPr="00FE200C">
        <w:rPr>
          <w:rFonts w:ascii="Times New Roman" w:hAnsi="Times New Roman"/>
          <w:sz w:val="24"/>
          <w:szCs w:val="24"/>
          <w:lang w:val="uz-Cyrl-UZ"/>
        </w:rPr>
        <w:t xml:space="preserve"> йил.</w:t>
      </w:r>
    </w:p>
    <w:p w14:paraId="7670323D" w14:textId="77777777" w:rsidR="00851221" w:rsidRPr="00DC0EBD"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8.3. Мазкур шартнома бир хил юридик кучга эга бўлган </w:t>
      </w:r>
      <w:r w:rsidRPr="00DC0EBD">
        <w:rPr>
          <w:rFonts w:ascii="Times New Roman" w:hAnsi="Times New Roman"/>
          <w:sz w:val="24"/>
          <w:szCs w:val="24"/>
          <w:lang w:val="uz-Cyrl-UZ"/>
        </w:rPr>
        <w:t>2</w:t>
      </w:r>
      <w:r w:rsidRPr="00FE200C">
        <w:rPr>
          <w:rFonts w:ascii="Times New Roman" w:hAnsi="Times New Roman"/>
          <w:sz w:val="24"/>
          <w:szCs w:val="24"/>
          <w:lang w:val="uz-Cyrl-UZ"/>
        </w:rPr>
        <w:t xml:space="preserve"> нусхада тузилди.</w:t>
      </w:r>
    </w:p>
    <w:p w14:paraId="49444D9D" w14:textId="77777777" w:rsidR="00851221" w:rsidRPr="006813FE" w:rsidRDefault="00851221" w:rsidP="00851221">
      <w:pPr>
        <w:pStyle w:val="1"/>
        <w:jc w:val="center"/>
        <w:rPr>
          <w:rFonts w:ascii="Times New Roman" w:hAnsi="Times New Roman"/>
          <w:b/>
          <w:sz w:val="24"/>
          <w:szCs w:val="24"/>
        </w:rPr>
      </w:pPr>
      <w:r w:rsidRPr="00FE200C">
        <w:rPr>
          <w:rFonts w:ascii="Times New Roman" w:hAnsi="Times New Roman"/>
          <w:b/>
          <w:sz w:val="24"/>
          <w:szCs w:val="24"/>
          <w:lang w:val="uz-Cyrl-UZ"/>
        </w:rPr>
        <w:t>9. Низоларни хал этиш тартиби ва хуқуқий экспертизаси</w:t>
      </w:r>
    </w:p>
    <w:p w14:paraId="5C6258D3" w14:textId="77777777" w:rsidR="00851221" w:rsidRPr="00FE200C"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9.1. Шартноманинг мазмуни уни тузишга тайёрлаш жараёнида юридик хизмат субъектлари ёки жалб этилган адвокатлар томонидан қонунчиликка мувофиқ келиши  текширилган бўлиши даркор. Уларнинг имзозисиз ёки хулосасиз шартнома тузилишига йўл қўйилмайди.</w:t>
      </w:r>
    </w:p>
    <w:p w14:paraId="43F679DC" w14:textId="77777777" w:rsidR="00851221" w:rsidRPr="00ED5D13" w:rsidRDefault="00851221" w:rsidP="00851221">
      <w:pPr>
        <w:pStyle w:val="1"/>
        <w:jc w:val="both"/>
        <w:rPr>
          <w:rFonts w:ascii="Times New Roman" w:hAnsi="Times New Roman"/>
          <w:sz w:val="24"/>
          <w:szCs w:val="24"/>
          <w:lang w:val="uz-Cyrl-UZ"/>
        </w:rPr>
      </w:pPr>
      <w:r w:rsidRPr="00FE200C">
        <w:rPr>
          <w:rFonts w:ascii="Times New Roman" w:hAnsi="Times New Roman"/>
          <w:sz w:val="24"/>
          <w:szCs w:val="24"/>
          <w:lang w:val="uz-Cyrl-UZ"/>
        </w:rPr>
        <w:t xml:space="preserve">9.2. Шартномани тузиш, ижро этиш, ўзгартириш ва бекор қилиш, шунингдек  келтирилган зарарни қоплаш чоғида томонлар ўртасида вужудга келган баҳслар қонунчиликда белгиланган тартибда </w:t>
      </w:r>
      <w:r>
        <w:rPr>
          <w:rFonts w:ascii="Times New Roman" w:hAnsi="Times New Roman"/>
          <w:sz w:val="24"/>
          <w:szCs w:val="24"/>
          <w:lang w:val="uz-Cyrl-UZ"/>
        </w:rPr>
        <w:t>иқтисодий</w:t>
      </w:r>
      <w:r w:rsidRPr="00FE200C">
        <w:rPr>
          <w:rFonts w:ascii="Times New Roman" w:hAnsi="Times New Roman"/>
          <w:sz w:val="24"/>
          <w:szCs w:val="24"/>
          <w:lang w:val="uz-Cyrl-UZ"/>
        </w:rPr>
        <w:t xml:space="preserve"> суди томонидан ёки томонларнинг келишувига биноан хакамлар суди томонидан қараб чиқилади.</w:t>
      </w:r>
    </w:p>
    <w:p w14:paraId="61ADB347" w14:textId="77777777" w:rsidR="00851221" w:rsidRDefault="00851221" w:rsidP="00851221">
      <w:pPr>
        <w:pStyle w:val="1"/>
        <w:jc w:val="both"/>
        <w:rPr>
          <w:rFonts w:ascii="Times New Roman" w:hAnsi="Times New Roman"/>
          <w:sz w:val="24"/>
          <w:szCs w:val="24"/>
          <w:lang w:val="uz-Cyrl-UZ"/>
        </w:rPr>
      </w:pPr>
    </w:p>
    <w:tbl>
      <w:tblPr>
        <w:tblW w:w="10008" w:type="dxa"/>
        <w:tblLayout w:type="fixed"/>
        <w:tblLook w:val="01E0" w:firstRow="1" w:lastRow="1" w:firstColumn="1" w:lastColumn="1" w:noHBand="0" w:noVBand="0"/>
      </w:tblPr>
      <w:tblGrid>
        <w:gridCol w:w="10008"/>
      </w:tblGrid>
      <w:tr w:rsidR="00851221" w:rsidRPr="00FE200C" w14:paraId="6DFD0768" w14:textId="77777777" w:rsidTr="00883819">
        <w:tc>
          <w:tcPr>
            <w:tcW w:w="10008" w:type="dxa"/>
          </w:tcPr>
          <w:p w14:paraId="5FC39A23" w14:textId="77777777" w:rsidR="00851221" w:rsidRPr="00FE200C" w:rsidRDefault="00851221" w:rsidP="00883819">
            <w:pPr>
              <w:jc w:val="center"/>
              <w:rPr>
                <w:rFonts w:ascii="Arial" w:hAnsi="Arial" w:cs="Arial"/>
                <w:b/>
              </w:rPr>
            </w:pPr>
            <w:r w:rsidRPr="00FE200C">
              <w:rPr>
                <w:rFonts w:ascii="Arial" w:hAnsi="Arial" w:cs="Arial"/>
                <w:b/>
              </w:rPr>
              <w:t>1</w:t>
            </w:r>
            <w:r>
              <w:rPr>
                <w:rFonts w:ascii="Arial" w:hAnsi="Arial" w:cs="Arial"/>
                <w:b/>
              </w:rPr>
              <w:t>0</w:t>
            </w:r>
            <w:r w:rsidRPr="00FE200C">
              <w:rPr>
                <w:rFonts w:ascii="Arial" w:hAnsi="Arial" w:cs="Arial"/>
                <w:b/>
              </w:rPr>
              <w:t xml:space="preserve">-модда. </w:t>
            </w:r>
            <w:proofErr w:type="spellStart"/>
            <w:r w:rsidRPr="00FE200C">
              <w:rPr>
                <w:rFonts w:ascii="Arial" w:hAnsi="Arial" w:cs="Arial"/>
                <w:b/>
              </w:rPr>
              <w:t>Томонларнинг</w:t>
            </w:r>
            <w:proofErr w:type="spellEnd"/>
            <w:r w:rsidRPr="00FE200C">
              <w:rPr>
                <w:rFonts w:ascii="Arial" w:hAnsi="Arial" w:cs="Arial"/>
                <w:b/>
              </w:rPr>
              <w:t xml:space="preserve"> </w:t>
            </w:r>
            <w:proofErr w:type="spellStart"/>
            <w:r w:rsidRPr="00FE200C">
              <w:rPr>
                <w:rFonts w:ascii="Arial" w:hAnsi="Arial" w:cs="Arial"/>
                <w:b/>
              </w:rPr>
              <w:t>реквизитлари</w:t>
            </w:r>
            <w:proofErr w:type="spellEnd"/>
          </w:p>
        </w:tc>
      </w:tr>
      <w:tr w:rsidR="00851221" w:rsidRPr="00FE200C" w14:paraId="7953B78B" w14:textId="77777777" w:rsidTr="00883819">
        <w:tc>
          <w:tcPr>
            <w:tcW w:w="10008" w:type="dxa"/>
          </w:tcPr>
          <w:tbl>
            <w:tblPr>
              <w:tblpPr w:leftFromText="180" w:rightFromText="180" w:vertAnchor="page" w:horzAnchor="margin" w:tblpY="391"/>
              <w:tblOverlap w:val="neve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6"/>
              <w:gridCol w:w="4512"/>
            </w:tblGrid>
            <w:tr w:rsidR="00A77737" w:rsidRPr="00600F22" w14:paraId="0D85B922" w14:textId="77777777" w:rsidTr="00A77737">
              <w:trPr>
                <w:trHeight w:val="541"/>
              </w:trPr>
              <w:tc>
                <w:tcPr>
                  <w:tcW w:w="4876" w:type="dxa"/>
                </w:tcPr>
                <w:p w14:paraId="1F1200B1" w14:textId="77777777" w:rsidR="00A77737" w:rsidRPr="00600F22" w:rsidRDefault="00A77737" w:rsidP="00A77737">
                  <w:pPr>
                    <w:rPr>
                      <w:b/>
                    </w:rPr>
                  </w:pPr>
                  <w:r>
                    <w:rPr>
                      <w:b/>
                    </w:rPr>
                    <w:t xml:space="preserve">                </w:t>
                  </w:r>
                  <w:proofErr w:type="spellStart"/>
                  <w:r w:rsidRPr="00600F22">
                    <w:rPr>
                      <w:b/>
                    </w:rPr>
                    <w:t>Буюртмачи</w:t>
                  </w:r>
                  <w:proofErr w:type="spellEnd"/>
                  <w:r w:rsidRPr="00600F22">
                    <w:rPr>
                      <w:b/>
                    </w:rPr>
                    <w:t>:</w:t>
                  </w:r>
                </w:p>
              </w:tc>
              <w:tc>
                <w:tcPr>
                  <w:tcW w:w="4512" w:type="dxa"/>
                </w:tcPr>
                <w:p w14:paraId="10B14CF6" w14:textId="77777777" w:rsidR="00A77737" w:rsidRDefault="00A77737" w:rsidP="00A77737">
                  <w:pPr>
                    <w:rPr>
                      <w:b/>
                    </w:rPr>
                  </w:pPr>
                  <w:r>
                    <w:rPr>
                      <w:b/>
                    </w:rPr>
                    <w:t xml:space="preserve">              </w:t>
                  </w:r>
                  <w:proofErr w:type="spellStart"/>
                  <w:r w:rsidRPr="00600F22">
                    <w:rPr>
                      <w:b/>
                    </w:rPr>
                    <w:t>Ижро</w:t>
                  </w:r>
                  <w:proofErr w:type="spellEnd"/>
                  <w:r w:rsidRPr="00600F22">
                    <w:rPr>
                      <w:b/>
                    </w:rPr>
                    <w:t xml:space="preserve"> </w:t>
                  </w:r>
                  <w:proofErr w:type="spellStart"/>
                  <w:r w:rsidRPr="00600F22">
                    <w:rPr>
                      <w:b/>
                    </w:rPr>
                    <w:t>килувчи</w:t>
                  </w:r>
                  <w:proofErr w:type="spellEnd"/>
                  <w:r w:rsidRPr="00600F22">
                    <w:rPr>
                      <w:b/>
                    </w:rPr>
                    <w:t>:</w:t>
                  </w:r>
                </w:p>
                <w:p w14:paraId="7CE237DB" w14:textId="77777777" w:rsidR="00A77737" w:rsidRPr="00600F22" w:rsidRDefault="00A77737" w:rsidP="00A77737">
                  <w:pPr>
                    <w:rPr>
                      <w:b/>
                    </w:rPr>
                  </w:pPr>
                </w:p>
              </w:tc>
            </w:tr>
            <w:tr w:rsidR="00A77737" w:rsidRPr="00B46294" w14:paraId="7C82D47F" w14:textId="77777777" w:rsidTr="00A77737">
              <w:trPr>
                <w:trHeight w:val="395"/>
              </w:trPr>
              <w:tc>
                <w:tcPr>
                  <w:tcW w:w="4876" w:type="dxa"/>
                </w:tcPr>
                <w:p w14:paraId="5E1C0878" w14:textId="77777777" w:rsidR="00A77737" w:rsidRPr="005033B6" w:rsidRDefault="00A77737" w:rsidP="00A77737">
                  <w:pPr>
                    <w:rPr>
                      <w:i/>
                      <w:sz w:val="22"/>
                      <w:szCs w:val="22"/>
                    </w:rPr>
                  </w:pPr>
                  <w:r w:rsidRPr="00E325AA">
                    <w:rPr>
                      <w:sz w:val="22"/>
                      <w:szCs w:val="22"/>
                      <w:lang w:val="uz-Cyrl-UZ"/>
                    </w:rPr>
                    <w:t xml:space="preserve">“Узсувтаъминот” АЖ </w:t>
                  </w:r>
                  <w:r w:rsidRPr="005033B6">
                    <w:rPr>
                      <w:sz w:val="22"/>
                      <w:szCs w:val="22"/>
                      <w:lang w:val="uz-Cyrl-UZ"/>
                    </w:rPr>
                    <w:t xml:space="preserve">«Сув таъминоти ва окова сув объектлари курилиши буйича инжиниринг компанияси» </w:t>
                  </w:r>
                  <w:r>
                    <w:rPr>
                      <w:sz w:val="22"/>
                      <w:szCs w:val="22"/>
                      <w:lang w:val="uz-Cyrl-UZ"/>
                    </w:rPr>
                    <w:t>Д</w:t>
                  </w:r>
                  <w:r w:rsidRPr="005033B6">
                    <w:rPr>
                      <w:sz w:val="22"/>
                      <w:szCs w:val="22"/>
                      <w:lang w:val="uz-Cyrl-UZ"/>
                    </w:rPr>
                    <w:t>УК Кашкадарё вилояти худудий бошкармаси</w:t>
                  </w:r>
                </w:p>
              </w:tc>
              <w:tc>
                <w:tcPr>
                  <w:tcW w:w="4512" w:type="dxa"/>
                </w:tcPr>
                <w:p w14:paraId="18A7E82D" w14:textId="77777777" w:rsidR="00A77737" w:rsidRPr="00912D89" w:rsidRDefault="00A77737" w:rsidP="007402D8">
                  <w:pPr>
                    <w:ind w:left="-75"/>
                    <w:jc w:val="center"/>
                    <w:rPr>
                      <w:i/>
                      <w:sz w:val="22"/>
                      <w:szCs w:val="22"/>
                      <w:highlight w:val="yellow"/>
                    </w:rPr>
                  </w:pPr>
                </w:p>
              </w:tc>
            </w:tr>
            <w:tr w:rsidR="00A77737" w:rsidRPr="00600F22" w14:paraId="07BFBA9D" w14:textId="77777777" w:rsidTr="00A77737">
              <w:trPr>
                <w:trHeight w:val="1023"/>
              </w:trPr>
              <w:tc>
                <w:tcPr>
                  <w:tcW w:w="4876" w:type="dxa"/>
                </w:tcPr>
                <w:p w14:paraId="421EF749" w14:textId="77777777" w:rsidR="00A77737" w:rsidRPr="005033B6" w:rsidRDefault="00A77737" w:rsidP="00A77737">
                  <w:pPr>
                    <w:rPr>
                      <w:sz w:val="22"/>
                      <w:szCs w:val="22"/>
                    </w:rPr>
                  </w:pPr>
                  <w:proofErr w:type="spellStart"/>
                  <w:r w:rsidRPr="005033B6">
                    <w:rPr>
                      <w:sz w:val="22"/>
                      <w:szCs w:val="22"/>
                    </w:rPr>
                    <w:t>Манзили</w:t>
                  </w:r>
                  <w:proofErr w:type="spellEnd"/>
                  <w:r w:rsidRPr="005033B6">
                    <w:rPr>
                      <w:sz w:val="22"/>
                      <w:szCs w:val="22"/>
                    </w:rPr>
                    <w:t xml:space="preserve">: Карши </w:t>
                  </w:r>
                  <w:proofErr w:type="spellStart"/>
                  <w:r w:rsidRPr="005033B6">
                    <w:rPr>
                      <w:sz w:val="22"/>
                      <w:szCs w:val="22"/>
                    </w:rPr>
                    <w:t>шахар</w:t>
                  </w:r>
                  <w:proofErr w:type="spellEnd"/>
                  <w:r w:rsidRPr="005033B6">
                    <w:rPr>
                      <w:sz w:val="22"/>
                      <w:szCs w:val="22"/>
                    </w:rPr>
                    <w:t xml:space="preserve"> </w:t>
                  </w:r>
                  <w:r>
                    <w:rPr>
                      <w:sz w:val="22"/>
                      <w:szCs w:val="22"/>
                      <w:lang w:val="uz-Cyrl-UZ"/>
                    </w:rPr>
                    <w:t>Узбекистон овози 16</w:t>
                  </w:r>
                  <w:r w:rsidRPr="005033B6">
                    <w:rPr>
                      <w:sz w:val="22"/>
                      <w:szCs w:val="22"/>
                    </w:rPr>
                    <w:t xml:space="preserve"> </w:t>
                  </w:r>
                  <w:proofErr w:type="spellStart"/>
                  <w:r w:rsidRPr="005033B6">
                    <w:rPr>
                      <w:sz w:val="22"/>
                      <w:szCs w:val="22"/>
                    </w:rPr>
                    <w:t>уй</w:t>
                  </w:r>
                  <w:proofErr w:type="spellEnd"/>
                </w:p>
                <w:p w14:paraId="39017BC5" w14:textId="77777777" w:rsidR="00A77737" w:rsidRPr="00B50113" w:rsidRDefault="00A77737" w:rsidP="00A77737">
                  <w:pPr>
                    <w:rPr>
                      <w:sz w:val="22"/>
                      <w:szCs w:val="22"/>
                      <w:lang w:val="uz-Cyrl-UZ"/>
                    </w:rPr>
                  </w:pPr>
                  <w:proofErr w:type="gramStart"/>
                  <w:r w:rsidRPr="005033B6">
                    <w:rPr>
                      <w:sz w:val="22"/>
                      <w:szCs w:val="22"/>
                    </w:rPr>
                    <w:t xml:space="preserve">Тел:  </w:t>
                  </w:r>
                  <w:r>
                    <w:rPr>
                      <w:sz w:val="22"/>
                      <w:szCs w:val="22"/>
                      <w:lang w:val="uz-Cyrl-UZ"/>
                    </w:rPr>
                    <w:t>99</w:t>
                  </w:r>
                  <w:proofErr w:type="gramEnd"/>
                  <w:r>
                    <w:rPr>
                      <w:sz w:val="22"/>
                      <w:szCs w:val="22"/>
                      <w:lang w:val="uz-Cyrl-UZ"/>
                    </w:rPr>
                    <w:t> 082 0660</w:t>
                  </w:r>
                </w:p>
                <w:p w14:paraId="08F5FCA7" w14:textId="77777777" w:rsidR="00A77737" w:rsidRDefault="00A77737" w:rsidP="00A77737">
                  <w:pPr>
                    <w:rPr>
                      <w:sz w:val="22"/>
                      <w:szCs w:val="22"/>
                      <w:lang w:val="uz-Cyrl-UZ"/>
                    </w:rPr>
                  </w:pPr>
                  <w:r w:rsidRPr="005033B6">
                    <w:rPr>
                      <w:sz w:val="22"/>
                      <w:szCs w:val="22"/>
                    </w:rPr>
                    <w:t>л/</w:t>
                  </w:r>
                  <w:proofErr w:type="spellStart"/>
                  <w:r w:rsidRPr="005033B6">
                    <w:rPr>
                      <w:sz w:val="22"/>
                      <w:szCs w:val="22"/>
                    </w:rPr>
                    <w:t>сч</w:t>
                  </w:r>
                  <w:proofErr w:type="spellEnd"/>
                  <w:r>
                    <w:rPr>
                      <w:sz w:val="22"/>
                      <w:szCs w:val="22"/>
                      <w:lang w:val="uz-Cyrl-UZ"/>
                    </w:rPr>
                    <w:t xml:space="preserve"> </w:t>
                  </w:r>
                </w:p>
                <w:p w14:paraId="5FEA3C1A" w14:textId="77777777" w:rsidR="00A77737" w:rsidRPr="005033B6" w:rsidRDefault="00A77737" w:rsidP="00A77737">
                  <w:pPr>
                    <w:rPr>
                      <w:sz w:val="22"/>
                      <w:szCs w:val="22"/>
                    </w:rPr>
                  </w:pPr>
                  <w:r w:rsidRPr="005033B6">
                    <w:rPr>
                      <w:sz w:val="22"/>
                      <w:szCs w:val="22"/>
                    </w:rPr>
                    <w:t>ИНН:305977670, ОКЭД 42210</w:t>
                  </w:r>
                </w:p>
              </w:tc>
              <w:tc>
                <w:tcPr>
                  <w:tcW w:w="4512" w:type="dxa"/>
                </w:tcPr>
                <w:p w14:paraId="38109C72" w14:textId="373A840F" w:rsidR="00A77737" w:rsidRPr="00193016" w:rsidRDefault="00A77737" w:rsidP="007402D8">
                  <w:pPr>
                    <w:ind w:left="317" w:hanging="283"/>
                    <w:rPr>
                      <w:rFonts w:eastAsia="Calibri"/>
                      <w:sz w:val="26"/>
                      <w:szCs w:val="26"/>
                      <w:lang w:val="uz-Cyrl-UZ"/>
                    </w:rPr>
                  </w:pPr>
                  <w:r w:rsidRPr="00193016">
                    <w:rPr>
                      <w:rFonts w:eastAsia="Calibri"/>
                      <w:sz w:val="26"/>
                      <w:szCs w:val="26"/>
                      <w:lang w:val="uz-Cyrl-UZ"/>
                    </w:rPr>
                    <w:t xml:space="preserve">Манзили: </w:t>
                  </w:r>
                </w:p>
                <w:p w14:paraId="704E8393" w14:textId="5AE90A4A" w:rsidR="00A77737" w:rsidRPr="00193016" w:rsidRDefault="00A77737" w:rsidP="007402D8">
                  <w:pPr>
                    <w:ind w:left="317" w:hanging="283"/>
                    <w:rPr>
                      <w:rFonts w:eastAsia="Calibri"/>
                      <w:sz w:val="26"/>
                      <w:szCs w:val="26"/>
                      <w:lang w:val="uz-Cyrl-UZ"/>
                    </w:rPr>
                  </w:pPr>
                  <w:r w:rsidRPr="00193016">
                    <w:rPr>
                      <w:rFonts w:eastAsia="Calibri"/>
                      <w:sz w:val="26"/>
                      <w:szCs w:val="26"/>
                      <w:lang w:val="uz-Cyrl-UZ"/>
                    </w:rPr>
                    <w:t xml:space="preserve">Телефон: </w:t>
                  </w:r>
                </w:p>
                <w:p w14:paraId="0F1A8728" w14:textId="77777777" w:rsidR="00A77737" w:rsidRPr="005033B6" w:rsidRDefault="00A77737" w:rsidP="00A77737">
                  <w:pPr>
                    <w:rPr>
                      <w:sz w:val="22"/>
                      <w:szCs w:val="22"/>
                      <w:highlight w:val="yellow"/>
                    </w:rPr>
                  </w:pPr>
                </w:p>
              </w:tc>
            </w:tr>
            <w:tr w:rsidR="00A77737" w:rsidRPr="005033B6" w14:paraId="7206BD8A" w14:textId="77777777" w:rsidTr="00A77737">
              <w:trPr>
                <w:trHeight w:val="1760"/>
              </w:trPr>
              <w:tc>
                <w:tcPr>
                  <w:tcW w:w="4876" w:type="dxa"/>
                </w:tcPr>
                <w:p w14:paraId="6166CB89" w14:textId="77777777" w:rsidR="00A77737" w:rsidRPr="005033B6" w:rsidRDefault="00A77737" w:rsidP="00A77737">
                  <w:pPr>
                    <w:rPr>
                      <w:sz w:val="22"/>
                      <w:szCs w:val="22"/>
                    </w:rPr>
                  </w:pPr>
                  <w:r w:rsidRPr="005033B6">
                    <w:rPr>
                      <w:sz w:val="22"/>
                      <w:szCs w:val="22"/>
                    </w:rPr>
                    <w:t xml:space="preserve">Управление </w:t>
                  </w:r>
                  <w:proofErr w:type="spellStart"/>
                  <w:r w:rsidRPr="005033B6">
                    <w:rPr>
                      <w:sz w:val="22"/>
                      <w:szCs w:val="22"/>
                    </w:rPr>
                    <w:t>Казначества</w:t>
                  </w:r>
                  <w:proofErr w:type="spellEnd"/>
                  <w:r w:rsidRPr="005033B6">
                    <w:rPr>
                      <w:sz w:val="22"/>
                      <w:szCs w:val="22"/>
                    </w:rPr>
                    <w:t xml:space="preserve"> по Кашкадарьинской области Министерства Финансов </w:t>
                  </w:r>
                  <w:proofErr w:type="spellStart"/>
                  <w:r w:rsidRPr="005033B6">
                    <w:rPr>
                      <w:sz w:val="22"/>
                      <w:szCs w:val="22"/>
                    </w:rPr>
                    <w:t>РУз</w:t>
                  </w:r>
                  <w:proofErr w:type="spellEnd"/>
                </w:p>
                <w:p w14:paraId="3F9B30F1" w14:textId="77777777" w:rsidR="00A77737" w:rsidRPr="005033B6" w:rsidRDefault="00A77737" w:rsidP="00A77737">
                  <w:pPr>
                    <w:rPr>
                      <w:sz w:val="22"/>
                      <w:szCs w:val="22"/>
                    </w:rPr>
                  </w:pPr>
                  <w:proofErr w:type="spellStart"/>
                  <w:r w:rsidRPr="005033B6">
                    <w:rPr>
                      <w:sz w:val="22"/>
                      <w:szCs w:val="22"/>
                    </w:rPr>
                    <w:t>Каз</w:t>
                  </w:r>
                  <w:proofErr w:type="spellEnd"/>
                  <w:r w:rsidRPr="005033B6">
                    <w:rPr>
                      <w:sz w:val="22"/>
                      <w:szCs w:val="22"/>
                    </w:rPr>
                    <w:t>/</w:t>
                  </w:r>
                  <w:proofErr w:type="spellStart"/>
                  <w:r w:rsidRPr="005033B6">
                    <w:rPr>
                      <w:sz w:val="22"/>
                      <w:szCs w:val="22"/>
                    </w:rPr>
                    <w:t>сч</w:t>
                  </w:r>
                  <w:proofErr w:type="spellEnd"/>
                  <w:r w:rsidRPr="005033B6">
                    <w:rPr>
                      <w:sz w:val="22"/>
                      <w:szCs w:val="22"/>
                    </w:rPr>
                    <w:t xml:space="preserve"> 23402000300100001010</w:t>
                  </w:r>
                </w:p>
                <w:p w14:paraId="3FB17627" w14:textId="77777777" w:rsidR="00A77737" w:rsidRDefault="00A77737" w:rsidP="00A77737">
                  <w:pPr>
                    <w:rPr>
                      <w:sz w:val="22"/>
                      <w:szCs w:val="22"/>
                    </w:rPr>
                  </w:pPr>
                  <w:r w:rsidRPr="005033B6">
                    <w:rPr>
                      <w:sz w:val="22"/>
                      <w:szCs w:val="22"/>
                    </w:rPr>
                    <w:t xml:space="preserve">ЦБ ГУ РККЦ </w:t>
                  </w:r>
                  <w:proofErr w:type="spellStart"/>
                  <w:r w:rsidRPr="005033B6">
                    <w:rPr>
                      <w:sz w:val="22"/>
                      <w:szCs w:val="22"/>
                    </w:rPr>
                    <w:t>г.Ташкент</w:t>
                  </w:r>
                  <w:proofErr w:type="spellEnd"/>
                  <w:r w:rsidRPr="005033B6">
                    <w:rPr>
                      <w:sz w:val="22"/>
                      <w:szCs w:val="22"/>
                    </w:rPr>
                    <w:t xml:space="preserve"> МФО 00014 </w:t>
                  </w:r>
                  <w:r>
                    <w:rPr>
                      <w:sz w:val="22"/>
                      <w:szCs w:val="22"/>
                    </w:rPr>
                    <w:t xml:space="preserve">       </w:t>
                  </w:r>
                  <w:proofErr w:type="spellStart"/>
                  <w:proofErr w:type="gramStart"/>
                  <w:r w:rsidRPr="005033B6">
                    <w:rPr>
                      <w:sz w:val="22"/>
                      <w:szCs w:val="22"/>
                    </w:rPr>
                    <w:t>ИНН:казн</w:t>
                  </w:r>
                  <w:proofErr w:type="gramEnd"/>
                  <w:r w:rsidRPr="005033B6">
                    <w:rPr>
                      <w:sz w:val="22"/>
                      <w:szCs w:val="22"/>
                    </w:rPr>
                    <w:t>.под</w:t>
                  </w:r>
                  <w:proofErr w:type="spellEnd"/>
                  <w:r w:rsidRPr="005033B6">
                    <w:rPr>
                      <w:sz w:val="22"/>
                      <w:szCs w:val="22"/>
                    </w:rPr>
                    <w:t xml:space="preserve"> 201 122</w:t>
                  </w:r>
                  <w:r>
                    <w:rPr>
                      <w:sz w:val="22"/>
                      <w:szCs w:val="22"/>
                    </w:rPr>
                    <w:t> </w:t>
                  </w:r>
                  <w:r w:rsidRPr="005033B6">
                    <w:rPr>
                      <w:sz w:val="22"/>
                      <w:szCs w:val="22"/>
                    </w:rPr>
                    <w:t>919</w:t>
                  </w:r>
                </w:p>
                <w:p w14:paraId="160E7F87" w14:textId="77777777" w:rsidR="00A77737" w:rsidRPr="00E30680" w:rsidRDefault="00A77737" w:rsidP="00A77737">
                  <w:pPr>
                    <w:rPr>
                      <w:b/>
                      <w:sz w:val="22"/>
                      <w:szCs w:val="22"/>
                    </w:rPr>
                  </w:pPr>
                </w:p>
                <w:p w14:paraId="453F0ADA" w14:textId="77777777" w:rsidR="00A77737" w:rsidRPr="00E30680" w:rsidRDefault="00A77737" w:rsidP="00A77737">
                  <w:pPr>
                    <w:rPr>
                      <w:b/>
                      <w:sz w:val="22"/>
                      <w:szCs w:val="22"/>
                      <w:lang w:val="uz-Cyrl-UZ"/>
                    </w:rPr>
                  </w:pPr>
                  <w:r w:rsidRPr="00334E2C">
                    <w:rPr>
                      <w:b/>
                      <w:sz w:val="22"/>
                      <w:szCs w:val="22"/>
                    </w:rPr>
                    <w:t>Директор _______________</w:t>
                  </w:r>
                  <w:r>
                    <w:rPr>
                      <w:b/>
                      <w:sz w:val="22"/>
                      <w:szCs w:val="22"/>
                      <w:lang w:val="uz-Cyrl-UZ"/>
                    </w:rPr>
                    <w:t>И.Кузиев</w:t>
                  </w:r>
                </w:p>
              </w:tc>
              <w:tc>
                <w:tcPr>
                  <w:tcW w:w="4512" w:type="dxa"/>
                </w:tcPr>
                <w:p w14:paraId="1E901880" w14:textId="0B956E4C" w:rsidR="00A77737" w:rsidRDefault="00A77737" w:rsidP="007402D8">
                  <w:pPr>
                    <w:ind w:left="317" w:hanging="283"/>
                    <w:rPr>
                      <w:rFonts w:eastAsia="Calibri"/>
                      <w:sz w:val="26"/>
                      <w:szCs w:val="26"/>
                      <w:lang w:val="uz-Cyrl-UZ"/>
                    </w:rPr>
                  </w:pPr>
                  <w:r w:rsidRPr="00E87865">
                    <w:rPr>
                      <w:rFonts w:eastAsia="Calibri"/>
                      <w:sz w:val="26"/>
                      <w:szCs w:val="26"/>
                      <w:lang w:val="uz-Cyrl-UZ"/>
                    </w:rPr>
                    <w:t xml:space="preserve">х/р  </w:t>
                  </w:r>
                </w:p>
                <w:p w14:paraId="7EB5158C" w14:textId="435E9D4E" w:rsidR="007402D8" w:rsidRPr="007402D8" w:rsidRDefault="007402D8" w:rsidP="007402D8">
                  <w:pPr>
                    <w:ind w:left="317" w:hanging="283"/>
                    <w:rPr>
                      <w:rFonts w:eastAsia="Calibri"/>
                      <w:sz w:val="26"/>
                      <w:szCs w:val="26"/>
                      <w:lang w:val="uz-Cyrl-UZ"/>
                    </w:rPr>
                  </w:pPr>
                  <w:r>
                    <w:rPr>
                      <w:rFonts w:eastAsia="Calibri"/>
                      <w:sz w:val="26"/>
                      <w:szCs w:val="26"/>
                      <w:lang w:val="uz-Cyrl-UZ"/>
                    </w:rPr>
                    <w:t>Банк</w:t>
                  </w:r>
                </w:p>
                <w:p w14:paraId="2F312642" w14:textId="77777777" w:rsidR="007402D8" w:rsidRDefault="00A77737" w:rsidP="007402D8">
                  <w:pPr>
                    <w:ind w:left="317" w:hanging="283"/>
                    <w:rPr>
                      <w:rFonts w:eastAsia="Calibri"/>
                      <w:sz w:val="26"/>
                      <w:szCs w:val="26"/>
                    </w:rPr>
                  </w:pPr>
                  <w:r w:rsidRPr="00CF29C7">
                    <w:rPr>
                      <w:rFonts w:eastAsia="Calibri"/>
                      <w:sz w:val="26"/>
                      <w:szCs w:val="26"/>
                    </w:rPr>
                    <w:t xml:space="preserve">МФО </w:t>
                  </w:r>
                </w:p>
                <w:p w14:paraId="7D2F9926" w14:textId="520F475A" w:rsidR="00A77737" w:rsidRPr="00CF29C7" w:rsidRDefault="00A77737" w:rsidP="007402D8">
                  <w:pPr>
                    <w:ind w:left="317" w:hanging="283"/>
                    <w:rPr>
                      <w:rFonts w:eastAsia="Calibri"/>
                      <w:sz w:val="26"/>
                      <w:szCs w:val="26"/>
                      <w:lang w:val="uz-Cyrl-UZ"/>
                    </w:rPr>
                  </w:pPr>
                  <w:r w:rsidRPr="00CF29C7">
                    <w:rPr>
                      <w:rFonts w:eastAsia="Calibri"/>
                      <w:sz w:val="26"/>
                      <w:szCs w:val="26"/>
                    </w:rPr>
                    <w:t xml:space="preserve"> ИНН </w:t>
                  </w:r>
                </w:p>
                <w:p w14:paraId="26133F71" w14:textId="77777777" w:rsidR="00A77737" w:rsidRPr="000F73C8" w:rsidRDefault="00A77737" w:rsidP="00A77737">
                  <w:pPr>
                    <w:rPr>
                      <w:b/>
                      <w:sz w:val="22"/>
                      <w:szCs w:val="22"/>
                    </w:rPr>
                  </w:pPr>
                </w:p>
                <w:p w14:paraId="4B75969C" w14:textId="77777777" w:rsidR="00A77737" w:rsidRPr="000F73C8" w:rsidRDefault="00A77737" w:rsidP="00A77737">
                  <w:pPr>
                    <w:rPr>
                      <w:b/>
                      <w:sz w:val="22"/>
                      <w:szCs w:val="22"/>
                    </w:rPr>
                  </w:pPr>
                </w:p>
                <w:p w14:paraId="791FC03A" w14:textId="77777777" w:rsidR="00A77737" w:rsidRDefault="00A77737" w:rsidP="00A77737">
                  <w:pPr>
                    <w:rPr>
                      <w:b/>
                      <w:sz w:val="22"/>
                      <w:szCs w:val="22"/>
                    </w:rPr>
                  </w:pPr>
                </w:p>
                <w:p w14:paraId="521E5DF1" w14:textId="1FC58218" w:rsidR="00A77737" w:rsidRPr="009E37C8" w:rsidRDefault="00A77737" w:rsidP="00A77737">
                  <w:pPr>
                    <w:rPr>
                      <w:sz w:val="22"/>
                      <w:szCs w:val="22"/>
                      <w:highlight w:val="yellow"/>
                      <w:lang w:val="uz-Cyrl-UZ"/>
                    </w:rPr>
                  </w:pPr>
                  <w:r>
                    <w:rPr>
                      <w:b/>
                      <w:sz w:val="22"/>
                      <w:szCs w:val="22"/>
                    </w:rPr>
                    <w:t xml:space="preserve"> </w:t>
                  </w:r>
                  <w:r>
                    <w:rPr>
                      <w:b/>
                      <w:sz w:val="22"/>
                      <w:szCs w:val="22"/>
                      <w:lang w:val="uz-Cyrl-UZ"/>
                    </w:rPr>
                    <w:t>Директор</w:t>
                  </w:r>
                  <w:r>
                    <w:rPr>
                      <w:b/>
                      <w:sz w:val="22"/>
                      <w:szCs w:val="22"/>
                    </w:rPr>
                    <w:t>_________</w:t>
                  </w:r>
                </w:p>
              </w:tc>
            </w:tr>
          </w:tbl>
          <w:p w14:paraId="07A252EB" w14:textId="77777777" w:rsidR="00851221" w:rsidRPr="00FE200C" w:rsidRDefault="00851221" w:rsidP="00883819">
            <w:pPr>
              <w:jc w:val="both"/>
              <w:rPr>
                <w:rFonts w:ascii="Arial" w:hAnsi="Arial" w:cs="Arial"/>
                <w:b/>
              </w:rPr>
            </w:pPr>
          </w:p>
        </w:tc>
      </w:tr>
    </w:tbl>
    <w:p w14:paraId="1BB535DA" w14:textId="77777777" w:rsidR="00FD6415" w:rsidRDefault="00FD6415" w:rsidP="00851221">
      <w:pPr>
        <w:ind w:left="6372"/>
        <w:jc w:val="center"/>
        <w:rPr>
          <w:b/>
          <w:color w:val="000000"/>
          <w:spacing w:val="-1"/>
          <w:sz w:val="22"/>
          <w:szCs w:val="22"/>
          <w:lang w:val="uz-Cyrl-UZ"/>
        </w:rPr>
      </w:pPr>
    </w:p>
    <w:p w14:paraId="11DFA478" w14:textId="77777777" w:rsidR="00FD6415" w:rsidRDefault="00FD6415" w:rsidP="00851221">
      <w:pPr>
        <w:ind w:left="6372"/>
        <w:jc w:val="center"/>
        <w:rPr>
          <w:b/>
          <w:color w:val="000000"/>
          <w:spacing w:val="-1"/>
          <w:sz w:val="22"/>
          <w:szCs w:val="22"/>
          <w:lang w:val="uz-Cyrl-UZ"/>
        </w:rPr>
      </w:pPr>
    </w:p>
    <w:p w14:paraId="4BB552E1" w14:textId="77777777" w:rsidR="00FD6415" w:rsidRDefault="00FD6415" w:rsidP="00851221">
      <w:pPr>
        <w:ind w:left="6372"/>
        <w:jc w:val="center"/>
        <w:rPr>
          <w:b/>
          <w:color w:val="000000"/>
          <w:spacing w:val="-1"/>
          <w:sz w:val="22"/>
          <w:szCs w:val="22"/>
          <w:lang w:val="uz-Cyrl-UZ"/>
        </w:rPr>
      </w:pPr>
    </w:p>
    <w:p w14:paraId="06395FED" w14:textId="77777777" w:rsidR="00FD6415" w:rsidRDefault="00FD6415" w:rsidP="00851221">
      <w:pPr>
        <w:ind w:left="6372"/>
        <w:jc w:val="center"/>
        <w:rPr>
          <w:b/>
          <w:color w:val="000000"/>
          <w:spacing w:val="-1"/>
          <w:sz w:val="22"/>
          <w:szCs w:val="22"/>
          <w:lang w:val="uz-Cyrl-UZ"/>
        </w:rPr>
      </w:pPr>
    </w:p>
    <w:p w14:paraId="6221C6EF" w14:textId="77777777" w:rsidR="005D0BF6" w:rsidRDefault="005D0BF6" w:rsidP="00851221">
      <w:pPr>
        <w:ind w:left="6372"/>
        <w:jc w:val="center"/>
        <w:rPr>
          <w:b/>
          <w:color w:val="000000"/>
          <w:spacing w:val="-1"/>
          <w:sz w:val="22"/>
          <w:szCs w:val="22"/>
          <w:lang w:val="uz-Cyrl-UZ"/>
        </w:rPr>
      </w:pPr>
    </w:p>
    <w:p w14:paraId="44D9B5BC" w14:textId="77777777" w:rsidR="005D0BF6" w:rsidRDefault="005D0BF6" w:rsidP="00851221">
      <w:pPr>
        <w:ind w:left="6372"/>
        <w:jc w:val="center"/>
        <w:rPr>
          <w:b/>
          <w:color w:val="000000"/>
          <w:spacing w:val="-1"/>
          <w:sz w:val="22"/>
          <w:szCs w:val="22"/>
          <w:lang w:val="uz-Cyrl-UZ"/>
        </w:rPr>
      </w:pPr>
    </w:p>
    <w:p w14:paraId="6F1DD140" w14:textId="77777777" w:rsidR="005D0BF6" w:rsidRDefault="005D0BF6" w:rsidP="00851221">
      <w:pPr>
        <w:ind w:left="6372"/>
        <w:jc w:val="center"/>
        <w:rPr>
          <w:b/>
          <w:color w:val="000000"/>
          <w:spacing w:val="-1"/>
          <w:sz w:val="22"/>
          <w:szCs w:val="22"/>
          <w:lang w:val="uz-Cyrl-UZ"/>
        </w:rPr>
      </w:pPr>
    </w:p>
    <w:p w14:paraId="65F169ED" w14:textId="77777777" w:rsidR="00E81651" w:rsidRDefault="00E81651" w:rsidP="00851221">
      <w:pPr>
        <w:ind w:left="6372"/>
        <w:jc w:val="center"/>
        <w:rPr>
          <w:b/>
          <w:color w:val="000000"/>
          <w:spacing w:val="-1"/>
          <w:sz w:val="22"/>
          <w:szCs w:val="22"/>
          <w:lang w:val="uz-Cyrl-UZ"/>
        </w:rPr>
      </w:pPr>
    </w:p>
    <w:p w14:paraId="797995AA" w14:textId="77777777" w:rsidR="00634380" w:rsidRDefault="00634380" w:rsidP="00851221">
      <w:pPr>
        <w:ind w:left="6372"/>
        <w:jc w:val="center"/>
        <w:rPr>
          <w:b/>
          <w:color w:val="000000"/>
          <w:spacing w:val="-1"/>
          <w:sz w:val="22"/>
          <w:szCs w:val="22"/>
          <w:lang w:val="uz-Cyrl-UZ"/>
        </w:rPr>
      </w:pPr>
    </w:p>
    <w:p w14:paraId="486FA287" w14:textId="77777777" w:rsidR="00634380" w:rsidRDefault="00634380" w:rsidP="00851221">
      <w:pPr>
        <w:ind w:left="6372"/>
        <w:jc w:val="center"/>
        <w:rPr>
          <w:b/>
          <w:color w:val="000000"/>
          <w:spacing w:val="-1"/>
          <w:sz w:val="22"/>
          <w:szCs w:val="22"/>
          <w:lang w:val="uz-Cyrl-UZ"/>
        </w:rPr>
      </w:pPr>
    </w:p>
    <w:p w14:paraId="7DBAF3F9" w14:textId="77777777" w:rsidR="00634380" w:rsidRDefault="00634380" w:rsidP="00851221">
      <w:pPr>
        <w:ind w:left="6372"/>
        <w:jc w:val="center"/>
        <w:rPr>
          <w:b/>
          <w:color w:val="000000"/>
          <w:spacing w:val="-1"/>
          <w:sz w:val="22"/>
          <w:szCs w:val="22"/>
          <w:lang w:val="uz-Cyrl-UZ"/>
        </w:rPr>
      </w:pPr>
    </w:p>
    <w:p w14:paraId="082E9CFC" w14:textId="77777777" w:rsidR="00851221" w:rsidRPr="00627817" w:rsidRDefault="00851221" w:rsidP="00851221">
      <w:pPr>
        <w:ind w:left="6372"/>
        <w:jc w:val="center"/>
        <w:rPr>
          <w:b/>
          <w:color w:val="000000"/>
          <w:spacing w:val="-1"/>
          <w:sz w:val="22"/>
          <w:szCs w:val="22"/>
          <w:lang w:val="uz-Cyrl-UZ"/>
        </w:rPr>
      </w:pPr>
      <w:r w:rsidRPr="00627817">
        <w:rPr>
          <w:b/>
          <w:color w:val="000000"/>
          <w:spacing w:val="-1"/>
          <w:sz w:val="22"/>
          <w:szCs w:val="22"/>
          <w:lang w:val="uz-Cyrl-UZ"/>
        </w:rPr>
        <w:lastRenderedPageBreak/>
        <w:t>Илова № 1</w:t>
      </w:r>
    </w:p>
    <w:p w14:paraId="7F491708" w14:textId="77777777" w:rsidR="00851221" w:rsidRPr="00627817" w:rsidRDefault="00851221" w:rsidP="00851221">
      <w:pPr>
        <w:ind w:left="6372"/>
        <w:jc w:val="center"/>
        <w:rPr>
          <w:b/>
          <w:color w:val="000000"/>
          <w:spacing w:val="-1"/>
          <w:sz w:val="22"/>
          <w:szCs w:val="22"/>
          <w:lang w:val="uz-Cyrl-UZ"/>
        </w:rPr>
      </w:pPr>
      <w:r w:rsidRPr="00627817">
        <w:rPr>
          <w:b/>
          <w:color w:val="000000"/>
          <w:spacing w:val="-1"/>
          <w:sz w:val="22"/>
          <w:szCs w:val="22"/>
          <w:lang w:val="uz-Cyrl-UZ"/>
        </w:rPr>
        <w:t>шартнома №</w:t>
      </w:r>
      <w:r w:rsidR="005D0BF6">
        <w:rPr>
          <w:b/>
          <w:color w:val="000000"/>
          <w:spacing w:val="-1"/>
          <w:sz w:val="22"/>
          <w:szCs w:val="22"/>
        </w:rPr>
        <w:t xml:space="preserve"> 1/22</w:t>
      </w:r>
    </w:p>
    <w:p w14:paraId="3205838B" w14:textId="77777777" w:rsidR="00851221" w:rsidRPr="00627817" w:rsidRDefault="00851221" w:rsidP="00851221">
      <w:pPr>
        <w:ind w:left="6372"/>
        <w:jc w:val="center"/>
        <w:rPr>
          <w:b/>
          <w:color w:val="000000"/>
          <w:spacing w:val="-1"/>
          <w:sz w:val="22"/>
          <w:szCs w:val="22"/>
          <w:lang w:val="uz-Cyrl-UZ"/>
        </w:rPr>
      </w:pPr>
      <w:r w:rsidRPr="00627817">
        <w:rPr>
          <w:b/>
          <w:color w:val="000000"/>
          <w:spacing w:val="-1"/>
          <w:sz w:val="22"/>
          <w:szCs w:val="22"/>
          <w:lang w:val="uz-Cyrl-UZ"/>
        </w:rPr>
        <w:t>лойиха-смета хужжатларини</w:t>
      </w:r>
    </w:p>
    <w:p w14:paraId="18944C3B" w14:textId="77777777" w:rsidR="00851221" w:rsidRDefault="00851221" w:rsidP="00851221">
      <w:pPr>
        <w:ind w:left="6372"/>
        <w:jc w:val="center"/>
        <w:rPr>
          <w:b/>
          <w:color w:val="000000"/>
          <w:spacing w:val="-1"/>
          <w:sz w:val="22"/>
          <w:szCs w:val="22"/>
          <w:lang w:val="uz-Cyrl-UZ"/>
        </w:rPr>
      </w:pPr>
      <w:r w:rsidRPr="00627817">
        <w:rPr>
          <w:b/>
          <w:color w:val="000000"/>
          <w:spacing w:val="-1"/>
          <w:sz w:val="22"/>
          <w:szCs w:val="22"/>
          <w:lang w:val="uz-Cyrl-UZ"/>
        </w:rPr>
        <w:t>тайёрлаш ишлари</w:t>
      </w:r>
    </w:p>
    <w:p w14:paraId="0C3D3A05" w14:textId="77777777" w:rsidR="00851221" w:rsidRDefault="00851221" w:rsidP="00851221">
      <w:pPr>
        <w:ind w:left="6372"/>
        <w:jc w:val="center"/>
        <w:rPr>
          <w:b/>
          <w:color w:val="000000"/>
          <w:spacing w:val="-1"/>
          <w:sz w:val="22"/>
          <w:szCs w:val="22"/>
          <w:lang w:val="uz-Cyrl-UZ"/>
        </w:rPr>
      </w:pPr>
    </w:p>
    <w:p w14:paraId="23E78957" w14:textId="77777777" w:rsidR="00851221" w:rsidRDefault="00851221" w:rsidP="00851221">
      <w:pPr>
        <w:ind w:left="6372"/>
        <w:jc w:val="center"/>
        <w:rPr>
          <w:b/>
          <w:color w:val="000000"/>
          <w:spacing w:val="-1"/>
          <w:sz w:val="22"/>
          <w:szCs w:val="22"/>
          <w:lang w:val="uz-Cyrl-UZ"/>
        </w:rPr>
      </w:pPr>
    </w:p>
    <w:p w14:paraId="048C98F0" w14:textId="77777777" w:rsidR="00851221" w:rsidRDefault="00851221" w:rsidP="00851221">
      <w:pPr>
        <w:jc w:val="center"/>
        <w:rPr>
          <w:b/>
          <w:color w:val="000000"/>
          <w:spacing w:val="-1"/>
          <w:sz w:val="22"/>
          <w:szCs w:val="22"/>
          <w:lang w:val="uz-Cyrl-UZ"/>
        </w:rPr>
      </w:pPr>
      <w:r>
        <w:rPr>
          <w:b/>
          <w:color w:val="000000"/>
          <w:spacing w:val="-1"/>
          <w:sz w:val="22"/>
          <w:szCs w:val="22"/>
          <w:lang w:val="uz-Cyrl-UZ"/>
        </w:rPr>
        <w:t>Календар режа</w:t>
      </w:r>
    </w:p>
    <w:p w14:paraId="20D3E9DC" w14:textId="77777777" w:rsidR="00851221" w:rsidRDefault="00851221" w:rsidP="00851221">
      <w:pPr>
        <w:jc w:val="center"/>
        <w:rPr>
          <w:b/>
          <w:color w:val="000000"/>
          <w:spacing w:val="-1"/>
          <w:sz w:val="22"/>
          <w:szCs w:val="22"/>
          <w:lang w:val="uz-Cyrl-UZ"/>
        </w:rPr>
      </w:pPr>
    </w:p>
    <w:p w14:paraId="7CBF5903" w14:textId="77777777" w:rsidR="00851221" w:rsidRDefault="00851221" w:rsidP="00851221">
      <w:pPr>
        <w:jc w:val="center"/>
        <w:rPr>
          <w:b/>
          <w:color w:val="000000"/>
          <w:spacing w:val="-1"/>
          <w:sz w:val="22"/>
          <w:szCs w:val="22"/>
          <w:lang w:val="uz-Cyrl-UZ"/>
        </w:rPr>
      </w:pPr>
    </w:p>
    <w:tbl>
      <w:tblPr>
        <w:tblStyle w:val="a3"/>
        <w:tblW w:w="9462" w:type="dxa"/>
        <w:tblLook w:val="04A0" w:firstRow="1" w:lastRow="0" w:firstColumn="1" w:lastColumn="0" w:noHBand="0" w:noVBand="1"/>
      </w:tblPr>
      <w:tblGrid>
        <w:gridCol w:w="2048"/>
        <w:gridCol w:w="1548"/>
        <w:gridCol w:w="1471"/>
        <w:gridCol w:w="1521"/>
        <w:gridCol w:w="1471"/>
        <w:gridCol w:w="1403"/>
      </w:tblGrid>
      <w:tr w:rsidR="00851221" w14:paraId="6E14A9E0" w14:textId="77777777" w:rsidTr="00883819">
        <w:trPr>
          <w:trHeight w:val="390"/>
        </w:trPr>
        <w:tc>
          <w:tcPr>
            <w:tcW w:w="2088" w:type="dxa"/>
            <w:vMerge w:val="restart"/>
          </w:tcPr>
          <w:p w14:paraId="53C6BBDA" w14:textId="77777777" w:rsidR="00851221" w:rsidRDefault="00851221" w:rsidP="00883819">
            <w:pPr>
              <w:jc w:val="center"/>
              <w:rPr>
                <w:b/>
                <w:color w:val="000000"/>
                <w:spacing w:val="-1"/>
                <w:sz w:val="22"/>
                <w:szCs w:val="22"/>
                <w:lang w:val="uz-Cyrl-UZ"/>
              </w:rPr>
            </w:pPr>
            <w:r>
              <w:rPr>
                <w:b/>
                <w:color w:val="000000"/>
                <w:spacing w:val="-1"/>
                <w:sz w:val="22"/>
                <w:szCs w:val="22"/>
                <w:lang w:val="uz-Cyrl-UZ"/>
              </w:rPr>
              <w:t>Шартнома буйича бажарилган ишлар</w:t>
            </w:r>
          </w:p>
        </w:tc>
        <w:tc>
          <w:tcPr>
            <w:tcW w:w="1320" w:type="dxa"/>
            <w:vMerge w:val="restart"/>
          </w:tcPr>
          <w:p w14:paraId="0A218C77" w14:textId="77777777" w:rsidR="00851221" w:rsidRDefault="00851221" w:rsidP="00883819">
            <w:pPr>
              <w:jc w:val="center"/>
              <w:rPr>
                <w:b/>
                <w:color w:val="000000"/>
                <w:spacing w:val="-1"/>
                <w:sz w:val="22"/>
                <w:szCs w:val="22"/>
                <w:lang w:val="uz-Cyrl-UZ"/>
              </w:rPr>
            </w:pPr>
            <w:r>
              <w:rPr>
                <w:b/>
                <w:color w:val="000000"/>
                <w:spacing w:val="-1"/>
                <w:sz w:val="22"/>
                <w:szCs w:val="22"/>
                <w:lang w:val="uz-Cyrl-UZ"/>
              </w:rPr>
              <w:t>Тақдим этилган хужжатлар</w:t>
            </w:r>
          </w:p>
        </w:tc>
        <w:tc>
          <w:tcPr>
            <w:tcW w:w="3026" w:type="dxa"/>
            <w:gridSpan w:val="2"/>
          </w:tcPr>
          <w:p w14:paraId="441664C8" w14:textId="77777777" w:rsidR="00851221" w:rsidRDefault="00851221" w:rsidP="00883819">
            <w:pPr>
              <w:jc w:val="center"/>
              <w:rPr>
                <w:b/>
                <w:color w:val="000000"/>
                <w:spacing w:val="-1"/>
                <w:sz w:val="22"/>
                <w:szCs w:val="22"/>
                <w:lang w:val="uz-Cyrl-UZ"/>
              </w:rPr>
            </w:pPr>
            <w:r>
              <w:rPr>
                <w:b/>
                <w:color w:val="000000"/>
                <w:spacing w:val="-1"/>
                <w:sz w:val="22"/>
                <w:szCs w:val="22"/>
                <w:lang w:val="uz-Cyrl-UZ"/>
              </w:rPr>
              <w:t>Бажариш муддати</w:t>
            </w:r>
          </w:p>
        </w:tc>
        <w:tc>
          <w:tcPr>
            <w:tcW w:w="3028" w:type="dxa"/>
            <w:gridSpan w:val="2"/>
          </w:tcPr>
          <w:p w14:paraId="2A25254C" w14:textId="77777777" w:rsidR="00851221" w:rsidRDefault="00851221" w:rsidP="00883819">
            <w:pPr>
              <w:jc w:val="center"/>
              <w:rPr>
                <w:b/>
                <w:color w:val="000000"/>
                <w:spacing w:val="-1"/>
                <w:sz w:val="22"/>
                <w:szCs w:val="22"/>
                <w:lang w:val="uz-Cyrl-UZ"/>
              </w:rPr>
            </w:pPr>
            <w:r>
              <w:rPr>
                <w:b/>
                <w:color w:val="000000"/>
                <w:spacing w:val="-1"/>
                <w:sz w:val="22"/>
                <w:szCs w:val="22"/>
                <w:lang w:val="uz-Cyrl-UZ"/>
              </w:rPr>
              <w:t>Бахолаш нархи</w:t>
            </w:r>
          </w:p>
        </w:tc>
      </w:tr>
      <w:tr w:rsidR="00851221" w14:paraId="4DA7C841" w14:textId="77777777" w:rsidTr="00883819">
        <w:trPr>
          <w:trHeight w:val="354"/>
        </w:trPr>
        <w:tc>
          <w:tcPr>
            <w:tcW w:w="2088" w:type="dxa"/>
            <w:vMerge/>
          </w:tcPr>
          <w:p w14:paraId="29C5EB57" w14:textId="77777777" w:rsidR="00851221" w:rsidRDefault="00851221" w:rsidP="00883819">
            <w:pPr>
              <w:jc w:val="center"/>
              <w:rPr>
                <w:b/>
                <w:color w:val="000000"/>
                <w:spacing w:val="-1"/>
                <w:sz w:val="22"/>
                <w:szCs w:val="22"/>
                <w:lang w:val="uz-Cyrl-UZ"/>
              </w:rPr>
            </w:pPr>
          </w:p>
        </w:tc>
        <w:tc>
          <w:tcPr>
            <w:tcW w:w="1320" w:type="dxa"/>
            <w:vMerge/>
          </w:tcPr>
          <w:p w14:paraId="28E230EA" w14:textId="77777777" w:rsidR="00851221" w:rsidRDefault="00851221" w:rsidP="00883819">
            <w:pPr>
              <w:jc w:val="center"/>
              <w:rPr>
                <w:b/>
                <w:color w:val="000000"/>
                <w:spacing w:val="-1"/>
                <w:sz w:val="22"/>
                <w:szCs w:val="22"/>
                <w:lang w:val="uz-Cyrl-UZ"/>
              </w:rPr>
            </w:pPr>
          </w:p>
        </w:tc>
        <w:tc>
          <w:tcPr>
            <w:tcW w:w="1512" w:type="dxa"/>
          </w:tcPr>
          <w:p w14:paraId="087B3F5A" w14:textId="77777777" w:rsidR="00851221" w:rsidRDefault="00851221" w:rsidP="00883819">
            <w:pPr>
              <w:jc w:val="center"/>
              <w:rPr>
                <w:b/>
                <w:color w:val="000000"/>
                <w:spacing w:val="-1"/>
                <w:sz w:val="22"/>
                <w:szCs w:val="22"/>
                <w:lang w:val="uz-Cyrl-UZ"/>
              </w:rPr>
            </w:pPr>
            <w:r>
              <w:rPr>
                <w:b/>
                <w:color w:val="000000"/>
                <w:spacing w:val="-1"/>
                <w:sz w:val="22"/>
                <w:szCs w:val="22"/>
                <w:lang w:val="uz-Cyrl-UZ"/>
              </w:rPr>
              <w:t>бошланши</w:t>
            </w:r>
          </w:p>
        </w:tc>
        <w:tc>
          <w:tcPr>
            <w:tcW w:w="1514" w:type="dxa"/>
          </w:tcPr>
          <w:p w14:paraId="7B3A17F7" w14:textId="77777777" w:rsidR="00851221" w:rsidRDefault="00851221" w:rsidP="00883819">
            <w:pPr>
              <w:jc w:val="center"/>
              <w:rPr>
                <w:b/>
                <w:color w:val="000000"/>
                <w:spacing w:val="-1"/>
                <w:sz w:val="22"/>
                <w:szCs w:val="22"/>
                <w:lang w:val="uz-Cyrl-UZ"/>
              </w:rPr>
            </w:pPr>
            <w:r>
              <w:rPr>
                <w:b/>
                <w:color w:val="000000"/>
                <w:spacing w:val="-1"/>
                <w:sz w:val="22"/>
                <w:szCs w:val="22"/>
                <w:lang w:val="uz-Cyrl-UZ"/>
              </w:rPr>
              <w:t>тугаши</w:t>
            </w:r>
          </w:p>
        </w:tc>
        <w:tc>
          <w:tcPr>
            <w:tcW w:w="1514" w:type="dxa"/>
          </w:tcPr>
          <w:p w14:paraId="7EB64860" w14:textId="77777777" w:rsidR="00851221" w:rsidRDefault="00851221" w:rsidP="00883819">
            <w:pPr>
              <w:jc w:val="center"/>
              <w:rPr>
                <w:b/>
                <w:color w:val="000000"/>
                <w:spacing w:val="-1"/>
                <w:sz w:val="22"/>
                <w:szCs w:val="22"/>
                <w:lang w:val="uz-Cyrl-UZ"/>
              </w:rPr>
            </w:pPr>
            <w:r>
              <w:rPr>
                <w:b/>
                <w:color w:val="000000"/>
                <w:spacing w:val="-1"/>
                <w:sz w:val="22"/>
                <w:szCs w:val="22"/>
                <w:lang w:val="uz-Cyrl-UZ"/>
              </w:rPr>
              <w:t>Шартнома суммаси %</w:t>
            </w:r>
          </w:p>
        </w:tc>
        <w:tc>
          <w:tcPr>
            <w:tcW w:w="1514" w:type="dxa"/>
          </w:tcPr>
          <w:p w14:paraId="32038F93" w14:textId="77777777" w:rsidR="00851221" w:rsidRDefault="00851221" w:rsidP="00883819">
            <w:pPr>
              <w:jc w:val="center"/>
              <w:rPr>
                <w:b/>
                <w:color w:val="000000"/>
                <w:spacing w:val="-1"/>
                <w:sz w:val="22"/>
                <w:szCs w:val="22"/>
                <w:lang w:val="uz-Cyrl-UZ"/>
              </w:rPr>
            </w:pPr>
            <w:r>
              <w:rPr>
                <w:b/>
                <w:color w:val="000000"/>
                <w:spacing w:val="-1"/>
                <w:sz w:val="22"/>
                <w:szCs w:val="22"/>
                <w:lang w:val="uz-Cyrl-UZ"/>
              </w:rPr>
              <w:t>Минг сумда</w:t>
            </w:r>
          </w:p>
        </w:tc>
      </w:tr>
      <w:tr w:rsidR="00851221" w14:paraId="01F4F3A1" w14:textId="77777777" w:rsidTr="00883819">
        <w:trPr>
          <w:trHeight w:val="1300"/>
        </w:trPr>
        <w:tc>
          <w:tcPr>
            <w:tcW w:w="2088" w:type="dxa"/>
          </w:tcPr>
          <w:p w14:paraId="38BA34E3" w14:textId="77777777" w:rsidR="00851221" w:rsidRDefault="00634380" w:rsidP="00883819">
            <w:pPr>
              <w:jc w:val="center"/>
              <w:rPr>
                <w:b/>
                <w:color w:val="000000"/>
                <w:spacing w:val="-1"/>
                <w:sz w:val="22"/>
                <w:szCs w:val="22"/>
                <w:lang w:val="uz-Cyrl-UZ"/>
              </w:rPr>
            </w:pPr>
            <w:r>
              <w:rPr>
                <w:b/>
                <w:lang w:val="uz-Cyrl-UZ"/>
              </w:rPr>
              <w:t>Шахрисабз тумани Мираки МФЙ окова сув тизимини реконструкция килиш</w:t>
            </w:r>
          </w:p>
        </w:tc>
        <w:tc>
          <w:tcPr>
            <w:tcW w:w="1320" w:type="dxa"/>
          </w:tcPr>
          <w:p w14:paraId="5A8BC90C" w14:textId="77777777" w:rsidR="00851221" w:rsidRDefault="00851221" w:rsidP="00883819">
            <w:pPr>
              <w:jc w:val="center"/>
              <w:rPr>
                <w:b/>
                <w:color w:val="000000"/>
                <w:spacing w:val="-1"/>
                <w:sz w:val="22"/>
                <w:szCs w:val="22"/>
                <w:lang w:val="uz-Cyrl-UZ"/>
              </w:rPr>
            </w:pPr>
            <w:r>
              <w:rPr>
                <w:b/>
                <w:color w:val="000000"/>
                <w:spacing w:val="-1"/>
                <w:sz w:val="22"/>
                <w:szCs w:val="22"/>
                <w:lang w:val="uz-Cyrl-UZ"/>
              </w:rPr>
              <w:t>Техник топшириғига асосан лойиха смета хужжатлари</w:t>
            </w:r>
          </w:p>
        </w:tc>
        <w:tc>
          <w:tcPr>
            <w:tcW w:w="1512" w:type="dxa"/>
          </w:tcPr>
          <w:p w14:paraId="3FACB05E" w14:textId="77777777" w:rsidR="00851221" w:rsidRDefault="00851221" w:rsidP="00883819">
            <w:pPr>
              <w:jc w:val="center"/>
              <w:rPr>
                <w:b/>
                <w:color w:val="000000"/>
                <w:spacing w:val="-1"/>
                <w:sz w:val="22"/>
                <w:szCs w:val="22"/>
                <w:lang w:val="uz-Cyrl-UZ"/>
              </w:rPr>
            </w:pPr>
            <w:r>
              <w:rPr>
                <w:b/>
                <w:color w:val="000000"/>
                <w:spacing w:val="-1"/>
                <w:sz w:val="22"/>
                <w:szCs w:val="22"/>
                <w:lang w:val="uz-Cyrl-UZ"/>
              </w:rPr>
              <w:t>Аванс келиб тушгандан сунг кейинги кундан бошлаб</w:t>
            </w:r>
          </w:p>
        </w:tc>
        <w:tc>
          <w:tcPr>
            <w:tcW w:w="1514" w:type="dxa"/>
          </w:tcPr>
          <w:p w14:paraId="5EF6EC46" w14:textId="77777777" w:rsidR="00851221" w:rsidRDefault="00851221" w:rsidP="00883819">
            <w:pPr>
              <w:jc w:val="center"/>
              <w:rPr>
                <w:b/>
                <w:color w:val="000000"/>
                <w:spacing w:val="-1"/>
                <w:sz w:val="22"/>
                <w:szCs w:val="22"/>
                <w:lang w:val="uz-Cyrl-UZ"/>
              </w:rPr>
            </w:pPr>
            <w:r>
              <w:rPr>
                <w:b/>
                <w:color w:val="000000"/>
                <w:spacing w:val="-1"/>
                <w:sz w:val="22"/>
                <w:szCs w:val="22"/>
                <w:lang w:val="uz-Cyrl-UZ"/>
              </w:rPr>
              <w:t>Керакли хужжатлар тақдим қилингандан ва ававнс тушгандан 10 кундан сунг</w:t>
            </w:r>
          </w:p>
        </w:tc>
        <w:tc>
          <w:tcPr>
            <w:tcW w:w="1514" w:type="dxa"/>
          </w:tcPr>
          <w:p w14:paraId="41D3295F" w14:textId="77777777" w:rsidR="00851221" w:rsidRDefault="00851221" w:rsidP="00883819">
            <w:pPr>
              <w:jc w:val="center"/>
              <w:rPr>
                <w:b/>
                <w:color w:val="000000"/>
                <w:spacing w:val="-1"/>
                <w:sz w:val="22"/>
                <w:szCs w:val="22"/>
                <w:lang w:val="uz-Cyrl-UZ"/>
              </w:rPr>
            </w:pPr>
          </w:p>
          <w:p w14:paraId="5CE70996" w14:textId="77777777" w:rsidR="00851221" w:rsidRDefault="00851221" w:rsidP="00883819">
            <w:pPr>
              <w:jc w:val="center"/>
              <w:rPr>
                <w:b/>
                <w:color w:val="000000"/>
                <w:spacing w:val="-1"/>
                <w:sz w:val="22"/>
                <w:szCs w:val="22"/>
                <w:lang w:val="uz-Cyrl-UZ"/>
              </w:rPr>
            </w:pPr>
          </w:p>
          <w:p w14:paraId="2667A4CC" w14:textId="77777777" w:rsidR="00851221" w:rsidRDefault="00851221" w:rsidP="00883819">
            <w:pPr>
              <w:jc w:val="center"/>
              <w:rPr>
                <w:b/>
                <w:color w:val="000000"/>
                <w:spacing w:val="-1"/>
                <w:sz w:val="22"/>
                <w:szCs w:val="22"/>
                <w:lang w:val="uz-Cyrl-UZ"/>
              </w:rPr>
            </w:pPr>
          </w:p>
          <w:p w14:paraId="7129EFC3" w14:textId="77777777" w:rsidR="00851221" w:rsidRDefault="00851221" w:rsidP="00883819">
            <w:pPr>
              <w:jc w:val="center"/>
              <w:rPr>
                <w:b/>
                <w:color w:val="000000"/>
                <w:spacing w:val="-1"/>
                <w:sz w:val="22"/>
                <w:szCs w:val="22"/>
                <w:lang w:val="uz-Cyrl-UZ"/>
              </w:rPr>
            </w:pPr>
            <w:r>
              <w:rPr>
                <w:b/>
                <w:color w:val="000000"/>
                <w:spacing w:val="-1"/>
                <w:sz w:val="22"/>
                <w:szCs w:val="22"/>
                <w:lang w:val="uz-Cyrl-UZ"/>
              </w:rPr>
              <w:t>100%</w:t>
            </w:r>
          </w:p>
        </w:tc>
        <w:tc>
          <w:tcPr>
            <w:tcW w:w="1514" w:type="dxa"/>
          </w:tcPr>
          <w:p w14:paraId="70DFFAE2" w14:textId="77777777" w:rsidR="00851221" w:rsidRDefault="00851221" w:rsidP="00883819">
            <w:pPr>
              <w:jc w:val="center"/>
              <w:rPr>
                <w:b/>
                <w:color w:val="000000"/>
                <w:spacing w:val="-1"/>
                <w:sz w:val="22"/>
                <w:szCs w:val="22"/>
                <w:lang w:val="uz-Cyrl-UZ"/>
              </w:rPr>
            </w:pPr>
          </w:p>
          <w:p w14:paraId="5BA8916F" w14:textId="77777777" w:rsidR="00851221" w:rsidRDefault="00851221" w:rsidP="00883819">
            <w:pPr>
              <w:jc w:val="center"/>
              <w:rPr>
                <w:b/>
                <w:color w:val="000000"/>
                <w:spacing w:val="-1"/>
                <w:sz w:val="22"/>
                <w:szCs w:val="22"/>
                <w:lang w:val="uz-Cyrl-UZ"/>
              </w:rPr>
            </w:pPr>
          </w:p>
          <w:p w14:paraId="6CE0275D" w14:textId="77777777" w:rsidR="00851221" w:rsidRDefault="00851221" w:rsidP="00883819">
            <w:pPr>
              <w:jc w:val="center"/>
              <w:rPr>
                <w:b/>
                <w:color w:val="000000"/>
                <w:spacing w:val="-1"/>
                <w:sz w:val="22"/>
                <w:szCs w:val="22"/>
                <w:lang w:val="uz-Cyrl-UZ"/>
              </w:rPr>
            </w:pPr>
          </w:p>
          <w:p w14:paraId="6E530508" w14:textId="77777777" w:rsidR="00851221" w:rsidRPr="00737AE3" w:rsidRDefault="00B6510F" w:rsidP="00883819">
            <w:pPr>
              <w:jc w:val="center"/>
              <w:rPr>
                <w:b/>
                <w:color w:val="000000"/>
                <w:spacing w:val="-1"/>
                <w:sz w:val="22"/>
                <w:szCs w:val="22"/>
                <w:lang w:val="uz-Cyrl-UZ"/>
              </w:rPr>
            </w:pPr>
            <w:r>
              <w:rPr>
                <w:b/>
                <w:color w:val="000000"/>
                <w:spacing w:val="-1"/>
                <w:sz w:val="22"/>
                <w:szCs w:val="22"/>
                <w:lang w:val="uz-Cyrl-UZ"/>
              </w:rPr>
              <w:t>289 000 000</w:t>
            </w:r>
          </w:p>
        </w:tc>
      </w:tr>
    </w:tbl>
    <w:p w14:paraId="2D33145F" w14:textId="77777777" w:rsidR="00851221" w:rsidRPr="00627817" w:rsidRDefault="00851221" w:rsidP="00851221">
      <w:pPr>
        <w:jc w:val="center"/>
        <w:rPr>
          <w:b/>
          <w:color w:val="000000"/>
          <w:spacing w:val="-1"/>
          <w:sz w:val="22"/>
          <w:szCs w:val="22"/>
          <w:lang w:val="uz-Cyrl-UZ"/>
        </w:rPr>
      </w:pPr>
    </w:p>
    <w:p w14:paraId="1BA152CA" w14:textId="77777777" w:rsidR="00851221" w:rsidRDefault="00851221" w:rsidP="00851221">
      <w:pPr>
        <w:rPr>
          <w:lang w:val="uz-Cyrl-UZ"/>
        </w:rPr>
      </w:pPr>
    </w:p>
    <w:p w14:paraId="16F1C46F" w14:textId="77777777" w:rsidR="00851221" w:rsidRDefault="00851221" w:rsidP="00851221">
      <w:pPr>
        <w:rPr>
          <w:lang w:val="uz-Cyrl-UZ"/>
        </w:rPr>
      </w:pPr>
    </w:p>
    <w:p w14:paraId="5409A0E1" w14:textId="77777777" w:rsidR="00851221" w:rsidRPr="000F058E" w:rsidRDefault="00851221" w:rsidP="00851221">
      <w:pPr>
        <w:rPr>
          <w:b/>
          <w:lang w:val="uz-Cyrl-UZ"/>
        </w:rPr>
      </w:pPr>
      <w:r w:rsidRPr="000F058E">
        <w:rPr>
          <w:b/>
          <w:lang w:val="uz-Cyrl-UZ"/>
        </w:rPr>
        <w:t>Буюртмачи:                                                                                             Ижро қилувчи</w:t>
      </w:r>
    </w:p>
    <w:p w14:paraId="106DA751" w14:textId="77777777" w:rsidR="00CF0BC8" w:rsidRPr="00CF0BC8" w:rsidRDefault="00851221" w:rsidP="00CF0BC8">
      <w:pPr>
        <w:rPr>
          <w:b/>
          <w:bCs/>
          <w:lang w:val="uz-Cyrl-UZ"/>
        </w:rPr>
      </w:pPr>
      <w:r w:rsidRPr="000F058E">
        <w:rPr>
          <w:b/>
          <w:lang w:val="uz-Cyrl-UZ"/>
        </w:rPr>
        <w:t xml:space="preserve">“Ўзсувтаъминот”АЖ                                   </w:t>
      </w:r>
      <w:r w:rsidR="00BF0C3F">
        <w:rPr>
          <w:b/>
          <w:lang w:val="uz-Cyrl-UZ"/>
        </w:rPr>
        <w:t xml:space="preserve">                </w:t>
      </w:r>
      <w:r w:rsidR="00AD4B2E">
        <w:rPr>
          <w:b/>
          <w:lang w:val="uz-Cyrl-UZ"/>
        </w:rPr>
        <w:t xml:space="preserve"> </w:t>
      </w:r>
      <w:r w:rsidR="00CF0BC8" w:rsidRPr="00CF0BC8">
        <w:rPr>
          <w:b/>
          <w:bCs/>
          <w:lang w:val="uz-Cyrl-UZ"/>
        </w:rPr>
        <w:t>“Шухрат қурилиш лойиха”  х/к</w:t>
      </w:r>
    </w:p>
    <w:p w14:paraId="59B87E27" w14:textId="77777777" w:rsidR="00851221" w:rsidRPr="000F058E" w:rsidRDefault="00851221" w:rsidP="00851221">
      <w:pPr>
        <w:rPr>
          <w:b/>
          <w:lang w:val="uz-Cyrl-UZ"/>
        </w:rPr>
      </w:pPr>
    </w:p>
    <w:p w14:paraId="15CC930F" w14:textId="77777777" w:rsidR="00851221" w:rsidRPr="000F058E" w:rsidRDefault="00851221" w:rsidP="00851221">
      <w:pPr>
        <w:rPr>
          <w:b/>
          <w:lang w:val="uz-Cyrl-UZ"/>
        </w:rPr>
      </w:pPr>
      <w:r w:rsidRPr="000F058E">
        <w:rPr>
          <w:b/>
          <w:lang w:val="uz-Cyrl-UZ"/>
        </w:rPr>
        <w:t xml:space="preserve">“Сув таъминоти ва оқова сув объектлари            </w:t>
      </w:r>
      <w:r w:rsidR="00A65DF0">
        <w:rPr>
          <w:b/>
          <w:lang w:val="uz-Cyrl-UZ"/>
        </w:rPr>
        <w:t xml:space="preserve">                          </w:t>
      </w:r>
      <w:r w:rsidR="006F010D">
        <w:rPr>
          <w:b/>
          <w:lang w:val="uz-Cyrl-UZ"/>
        </w:rPr>
        <w:t>директори</w:t>
      </w:r>
      <w:r w:rsidRPr="000F058E">
        <w:rPr>
          <w:b/>
          <w:lang w:val="uz-Cyrl-UZ"/>
        </w:rPr>
        <w:t>:</w:t>
      </w:r>
    </w:p>
    <w:p w14:paraId="643267B6" w14:textId="77777777" w:rsidR="00851221" w:rsidRPr="000F058E" w:rsidRDefault="00851221" w:rsidP="00851221">
      <w:pPr>
        <w:rPr>
          <w:b/>
          <w:lang w:val="uz-Cyrl-UZ"/>
        </w:rPr>
      </w:pPr>
      <w:r w:rsidRPr="000F058E">
        <w:rPr>
          <w:b/>
          <w:lang w:val="uz-Cyrl-UZ"/>
        </w:rPr>
        <w:t xml:space="preserve">қурилиши буйича ИК” УК Қашқадарё </w:t>
      </w:r>
    </w:p>
    <w:p w14:paraId="7CC192F8" w14:textId="77777777" w:rsidR="00851221" w:rsidRPr="000F058E" w:rsidRDefault="00851221" w:rsidP="00851221">
      <w:pPr>
        <w:rPr>
          <w:b/>
          <w:lang w:val="uz-Cyrl-UZ"/>
        </w:rPr>
      </w:pPr>
      <w:r w:rsidRPr="000F058E">
        <w:rPr>
          <w:b/>
          <w:lang w:val="uz-Cyrl-UZ"/>
        </w:rPr>
        <w:t>вилояти худудий бошқармаси бошлиғи:</w:t>
      </w:r>
    </w:p>
    <w:p w14:paraId="29303CD7" w14:textId="77777777" w:rsidR="00851221" w:rsidRPr="007568B2" w:rsidRDefault="00851221" w:rsidP="00851221">
      <w:pPr>
        <w:rPr>
          <w:b/>
          <w:lang w:val="uz-Cyrl-UZ"/>
        </w:rPr>
      </w:pPr>
      <w:r w:rsidRPr="000F058E">
        <w:rPr>
          <w:b/>
          <w:lang w:val="en-US"/>
        </w:rPr>
        <w:t>__________________</w:t>
      </w:r>
      <w:r w:rsidR="005949C4">
        <w:rPr>
          <w:b/>
          <w:lang w:val="uz-Cyrl-UZ"/>
        </w:rPr>
        <w:t>И.К</w:t>
      </w:r>
      <w:r w:rsidR="00B8577F">
        <w:rPr>
          <w:b/>
          <w:lang w:val="uz-Cyrl-UZ"/>
        </w:rPr>
        <w:t>узиев</w:t>
      </w:r>
      <w:r w:rsidRPr="000F058E">
        <w:rPr>
          <w:b/>
          <w:lang w:val="uz-Cyrl-UZ"/>
        </w:rPr>
        <w:t xml:space="preserve">                                                         </w:t>
      </w:r>
      <w:r w:rsidR="007568B2">
        <w:rPr>
          <w:b/>
          <w:lang w:val="en-US"/>
        </w:rPr>
        <w:t>______</w:t>
      </w:r>
      <w:r w:rsidR="00EE34EB" w:rsidRPr="00EE34EB">
        <w:rPr>
          <w:lang w:val="uz-Cyrl-UZ"/>
        </w:rPr>
        <w:t xml:space="preserve"> </w:t>
      </w:r>
      <w:r w:rsidR="00CC3A20">
        <w:rPr>
          <w:b/>
          <w:lang w:val="uz-Cyrl-UZ"/>
        </w:rPr>
        <w:t>Ш.Курбоналиев</w:t>
      </w:r>
      <w:r w:rsidR="00EE34EB" w:rsidRPr="00EE34EB">
        <w:rPr>
          <w:b/>
          <w:lang w:val="uz-Cyrl-UZ"/>
        </w:rPr>
        <w:t xml:space="preserve">  </w:t>
      </w:r>
    </w:p>
    <w:p w14:paraId="3A9ACA9D" w14:textId="77777777" w:rsidR="00CD53D6" w:rsidRPr="00851221" w:rsidRDefault="00CD53D6" w:rsidP="00851221"/>
    <w:sectPr w:rsidR="00CD53D6" w:rsidRPr="00851221" w:rsidSect="00B501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08962" w14:textId="77777777" w:rsidR="000501D9" w:rsidRDefault="000501D9" w:rsidP="00CF29C7">
      <w:r>
        <w:separator/>
      </w:r>
    </w:p>
  </w:endnote>
  <w:endnote w:type="continuationSeparator" w:id="0">
    <w:p w14:paraId="4610648B" w14:textId="77777777" w:rsidR="000501D9" w:rsidRDefault="000501D9" w:rsidP="00CF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57220" w14:textId="77777777" w:rsidR="000501D9" w:rsidRDefault="000501D9" w:rsidP="00CF29C7">
      <w:r>
        <w:separator/>
      </w:r>
    </w:p>
  </w:footnote>
  <w:footnote w:type="continuationSeparator" w:id="0">
    <w:p w14:paraId="04D82451" w14:textId="77777777" w:rsidR="000501D9" w:rsidRDefault="000501D9" w:rsidP="00CF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483B"/>
    <w:multiLevelType w:val="multilevel"/>
    <w:tmpl w:val="88720F5C"/>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4E2B1856"/>
    <w:multiLevelType w:val="multilevel"/>
    <w:tmpl w:val="58D8C1EA"/>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B8"/>
    <w:rsid w:val="00007A23"/>
    <w:rsid w:val="000501D9"/>
    <w:rsid w:val="000533D9"/>
    <w:rsid w:val="000B2EC0"/>
    <w:rsid w:val="00120004"/>
    <w:rsid w:val="001224AF"/>
    <w:rsid w:val="0017292F"/>
    <w:rsid w:val="00193016"/>
    <w:rsid w:val="0019776C"/>
    <w:rsid w:val="001B3A51"/>
    <w:rsid w:val="0022191E"/>
    <w:rsid w:val="00261E8F"/>
    <w:rsid w:val="0027319B"/>
    <w:rsid w:val="002750EB"/>
    <w:rsid w:val="002816B0"/>
    <w:rsid w:val="002B039B"/>
    <w:rsid w:val="002C1C43"/>
    <w:rsid w:val="002E5EE0"/>
    <w:rsid w:val="002F6CB3"/>
    <w:rsid w:val="00310B95"/>
    <w:rsid w:val="003110BC"/>
    <w:rsid w:val="003C3EA6"/>
    <w:rsid w:val="003D0236"/>
    <w:rsid w:val="003D38CA"/>
    <w:rsid w:val="003E3A00"/>
    <w:rsid w:val="004B0A01"/>
    <w:rsid w:val="0050613D"/>
    <w:rsid w:val="00572395"/>
    <w:rsid w:val="005949C4"/>
    <w:rsid w:val="005C17CF"/>
    <w:rsid w:val="005D0BF6"/>
    <w:rsid w:val="005D2126"/>
    <w:rsid w:val="005F7BA9"/>
    <w:rsid w:val="006006E1"/>
    <w:rsid w:val="00634380"/>
    <w:rsid w:val="00650ADD"/>
    <w:rsid w:val="006C32E9"/>
    <w:rsid w:val="006E0E55"/>
    <w:rsid w:val="006F010D"/>
    <w:rsid w:val="007122E3"/>
    <w:rsid w:val="00713988"/>
    <w:rsid w:val="0072029F"/>
    <w:rsid w:val="00737AE3"/>
    <w:rsid w:val="007402D8"/>
    <w:rsid w:val="007568B2"/>
    <w:rsid w:val="00841FE7"/>
    <w:rsid w:val="00851221"/>
    <w:rsid w:val="008D0DAE"/>
    <w:rsid w:val="00912D89"/>
    <w:rsid w:val="00993E74"/>
    <w:rsid w:val="00996E75"/>
    <w:rsid w:val="009C2DBD"/>
    <w:rsid w:val="009C4538"/>
    <w:rsid w:val="009C5F8F"/>
    <w:rsid w:val="009D1DAB"/>
    <w:rsid w:val="009E37C8"/>
    <w:rsid w:val="009F465D"/>
    <w:rsid w:val="00A15311"/>
    <w:rsid w:val="00A65DF0"/>
    <w:rsid w:val="00A77737"/>
    <w:rsid w:val="00A87667"/>
    <w:rsid w:val="00A916AE"/>
    <w:rsid w:val="00AA3081"/>
    <w:rsid w:val="00AA52FD"/>
    <w:rsid w:val="00AC77B5"/>
    <w:rsid w:val="00AD1922"/>
    <w:rsid w:val="00AD28DD"/>
    <w:rsid w:val="00AD4B2E"/>
    <w:rsid w:val="00AD691C"/>
    <w:rsid w:val="00B21583"/>
    <w:rsid w:val="00B4424C"/>
    <w:rsid w:val="00B46294"/>
    <w:rsid w:val="00B50113"/>
    <w:rsid w:val="00B6510F"/>
    <w:rsid w:val="00B81B19"/>
    <w:rsid w:val="00B8577F"/>
    <w:rsid w:val="00BB0A19"/>
    <w:rsid w:val="00BE4188"/>
    <w:rsid w:val="00BF0C3F"/>
    <w:rsid w:val="00C3303B"/>
    <w:rsid w:val="00C864EC"/>
    <w:rsid w:val="00CB24B8"/>
    <w:rsid w:val="00CC3A20"/>
    <w:rsid w:val="00CD53D6"/>
    <w:rsid w:val="00CF0BC8"/>
    <w:rsid w:val="00CF29C7"/>
    <w:rsid w:val="00D30BF3"/>
    <w:rsid w:val="00D43B83"/>
    <w:rsid w:val="00D67AFD"/>
    <w:rsid w:val="00D72017"/>
    <w:rsid w:val="00DA7A5C"/>
    <w:rsid w:val="00DF69E7"/>
    <w:rsid w:val="00E0115C"/>
    <w:rsid w:val="00E02835"/>
    <w:rsid w:val="00E277AC"/>
    <w:rsid w:val="00E325AA"/>
    <w:rsid w:val="00E81651"/>
    <w:rsid w:val="00E908FA"/>
    <w:rsid w:val="00EC7C71"/>
    <w:rsid w:val="00ED3A3E"/>
    <w:rsid w:val="00EE34EB"/>
    <w:rsid w:val="00F202A4"/>
    <w:rsid w:val="00F47AB9"/>
    <w:rsid w:val="00F5490B"/>
    <w:rsid w:val="00FA1537"/>
    <w:rsid w:val="00FD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28A7"/>
  <w15:chartTrackingRefBased/>
  <w15:docId w15:val="{AB670394-6D84-4A33-9C60-6EEFAA5A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12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51221"/>
    <w:pPr>
      <w:spacing w:after="0" w:line="240" w:lineRule="auto"/>
    </w:pPr>
    <w:rPr>
      <w:rFonts w:ascii="Calibri" w:eastAsia="Times New Roman" w:hAnsi="Calibri" w:cs="Times New Roman"/>
      <w:lang w:eastAsia="ru-RU"/>
    </w:rPr>
  </w:style>
  <w:style w:type="table" w:styleId="a3">
    <w:name w:val="Table Grid"/>
    <w:basedOn w:val="a1"/>
    <w:uiPriority w:val="39"/>
    <w:rsid w:val="00851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1922"/>
    <w:rPr>
      <w:rFonts w:ascii="Segoe UI" w:hAnsi="Segoe UI" w:cs="Segoe UI"/>
      <w:sz w:val="18"/>
      <w:szCs w:val="18"/>
    </w:rPr>
  </w:style>
  <w:style w:type="character" w:customStyle="1" w:styleId="a5">
    <w:name w:val="Текст выноски Знак"/>
    <w:basedOn w:val="a0"/>
    <w:link w:val="a4"/>
    <w:uiPriority w:val="99"/>
    <w:semiHidden/>
    <w:rsid w:val="00AD1922"/>
    <w:rPr>
      <w:rFonts w:ascii="Segoe UI" w:eastAsia="Times New Roman" w:hAnsi="Segoe UI" w:cs="Segoe UI"/>
      <w:sz w:val="18"/>
      <w:szCs w:val="18"/>
      <w:lang w:eastAsia="ru-RU"/>
    </w:rPr>
  </w:style>
  <w:style w:type="paragraph" w:styleId="a6">
    <w:name w:val="header"/>
    <w:basedOn w:val="a"/>
    <w:link w:val="a7"/>
    <w:uiPriority w:val="99"/>
    <w:unhideWhenUsed/>
    <w:rsid w:val="00CF29C7"/>
    <w:pPr>
      <w:tabs>
        <w:tab w:val="center" w:pos="4677"/>
        <w:tab w:val="right" w:pos="9355"/>
      </w:tabs>
    </w:pPr>
  </w:style>
  <w:style w:type="character" w:customStyle="1" w:styleId="a7">
    <w:name w:val="Верхний колонтитул Знак"/>
    <w:basedOn w:val="a0"/>
    <w:link w:val="a6"/>
    <w:uiPriority w:val="99"/>
    <w:rsid w:val="00CF29C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F29C7"/>
    <w:pPr>
      <w:tabs>
        <w:tab w:val="center" w:pos="4677"/>
        <w:tab w:val="right" w:pos="9355"/>
      </w:tabs>
    </w:pPr>
  </w:style>
  <w:style w:type="character" w:customStyle="1" w:styleId="a9">
    <w:name w:val="Нижний колонтитул Знак"/>
    <w:basedOn w:val="a0"/>
    <w:link w:val="a8"/>
    <w:uiPriority w:val="99"/>
    <w:rsid w:val="00CF29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42</cp:revision>
  <cp:lastPrinted>2021-12-12T08:31:00Z</cp:lastPrinted>
  <dcterms:created xsi:type="dcterms:W3CDTF">2021-07-29T05:11:00Z</dcterms:created>
  <dcterms:modified xsi:type="dcterms:W3CDTF">2022-06-24T13:06:00Z</dcterms:modified>
</cp:coreProperties>
</file>