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D" w:rsidRDefault="00490C2F">
      <w:pPr>
        <w:pStyle w:val="a7"/>
        <w:rPr>
          <w:b/>
          <w:sz w:val="22"/>
          <w:szCs w:val="22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Ш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Н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М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  <w:lang w:val="uz-Cyrl-UZ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№ __________</w:t>
      </w:r>
    </w:p>
    <w:p w:rsidR="00413F4D" w:rsidRDefault="00490C2F">
      <w:pPr>
        <w:pStyle w:val="a7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uz-Cyrl-UZ"/>
        </w:rPr>
        <w:t>Автотранспор</w:t>
      </w:r>
      <w:r>
        <w:rPr>
          <w:sz w:val="22"/>
          <w:szCs w:val="22"/>
        </w:rPr>
        <w:t>ни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арендага</w:t>
      </w:r>
      <w:r>
        <w:rPr>
          <w:sz w:val="22"/>
          <w:szCs w:val="22"/>
        </w:rPr>
        <w:t xml:space="preserve"> олиш </w:t>
      </w:r>
      <w:r>
        <w:rPr>
          <w:sz w:val="22"/>
          <w:szCs w:val="22"/>
        </w:rPr>
        <w:t>хакида)</w:t>
      </w:r>
    </w:p>
    <w:p w:rsidR="00413F4D" w:rsidRDefault="00490C2F">
      <w:pPr>
        <w:tabs>
          <w:tab w:val="left" w:pos="3979"/>
        </w:tabs>
        <w:rPr>
          <w:b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  <w:lang w:val="uz-Cyrl-UZ"/>
        </w:rPr>
        <w:t>Қ</w:t>
      </w:r>
      <w:r>
        <w:rPr>
          <w:b/>
          <w:bCs/>
          <w:color w:val="000000"/>
          <w:spacing w:val="-9"/>
          <w:sz w:val="22"/>
          <w:szCs w:val="22"/>
        </w:rPr>
        <w:t>егейли</w:t>
      </w:r>
      <w:r>
        <w:rPr>
          <w:b/>
          <w:sz w:val="22"/>
          <w:szCs w:val="22"/>
          <w:lang w:val="uz-Cyrl-UZ"/>
        </w:rPr>
        <w:t xml:space="preserve"> тумани.</w:t>
      </w:r>
      <w:r>
        <w:rPr>
          <w:b/>
          <w:sz w:val="22"/>
          <w:szCs w:val="22"/>
          <w:lang w:val="uz-Cyrl-UZ"/>
        </w:rPr>
        <w:tab/>
      </w:r>
      <w:r>
        <w:rPr>
          <w:b/>
          <w:sz w:val="22"/>
          <w:szCs w:val="22"/>
          <w:lang w:val="uz-Cyrl-UZ"/>
        </w:rPr>
        <w:tab/>
        <w:t xml:space="preserve"> </w:t>
      </w:r>
      <w:r>
        <w:rPr>
          <w:b/>
          <w:sz w:val="22"/>
          <w:szCs w:val="22"/>
          <w:lang w:val="uz-Cyrl-UZ"/>
        </w:rPr>
        <w:tab/>
        <w:t xml:space="preserve"> </w:t>
      </w:r>
      <w:r>
        <w:rPr>
          <w:b/>
          <w:sz w:val="22"/>
          <w:szCs w:val="22"/>
        </w:rPr>
        <w:tab/>
        <w:t xml:space="preserve">                           «_____» - ____________</w:t>
      </w:r>
      <w:r>
        <w:rPr>
          <w:b/>
          <w:sz w:val="22"/>
          <w:szCs w:val="22"/>
          <w:lang w:val="uz-Cyrl-UZ"/>
        </w:rPr>
        <w:t xml:space="preserve"> 202</w:t>
      </w:r>
      <w:r w:rsidR="00177869">
        <w:rPr>
          <w:b/>
          <w:sz w:val="22"/>
          <w:szCs w:val="22"/>
          <w:lang w:val="uz-Cyrl-UZ"/>
        </w:rPr>
        <w:t>2</w:t>
      </w:r>
      <w:r>
        <w:rPr>
          <w:b/>
          <w:sz w:val="22"/>
          <w:szCs w:val="22"/>
          <w:lang w:val="uz-Cyrl-UZ"/>
        </w:rPr>
        <w:t xml:space="preserve"> йил.</w:t>
      </w:r>
    </w:p>
    <w:p w:rsidR="00413F4D" w:rsidRDefault="00490C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  <w:t xml:space="preserve">Бир томондан  </w:t>
      </w:r>
      <w:r>
        <w:rPr>
          <w:b/>
          <w:sz w:val="23"/>
          <w:szCs w:val="23"/>
          <w:lang w:val="uz-Cyrl-UZ"/>
        </w:rPr>
        <w:t>«____________________________________»</w:t>
      </w:r>
      <w:r>
        <w:rPr>
          <w:sz w:val="22"/>
          <w:szCs w:val="22"/>
          <w:lang w:val="uz-Cyrl-UZ"/>
        </w:rPr>
        <w:t xml:space="preserve"> келгусида </w:t>
      </w:r>
      <w:r>
        <w:rPr>
          <w:b/>
          <w:sz w:val="22"/>
          <w:szCs w:val="22"/>
          <w:lang w:val="uz-Cyrl-UZ"/>
        </w:rPr>
        <w:t xml:space="preserve">«Бажарувчи» </w:t>
      </w:r>
      <w:r>
        <w:rPr>
          <w:sz w:val="22"/>
          <w:szCs w:val="22"/>
          <w:lang w:val="uz-Cyrl-UZ"/>
        </w:rPr>
        <w:t>деб юритилувчи ўз Низомига кўра фаолият к</w:t>
      </w:r>
      <w:r>
        <w:rPr>
          <w:sz w:val="22"/>
          <w:szCs w:val="22"/>
          <w:lang w:val="uz-Cyrl-UZ"/>
        </w:rPr>
        <w:t xml:space="preserve">урсатувчи </w:t>
      </w:r>
      <w:r>
        <w:rPr>
          <w:b/>
          <w:sz w:val="23"/>
          <w:szCs w:val="23"/>
          <w:lang w:val="uz-Cyrl-UZ"/>
        </w:rPr>
        <w:t>_______________________</w:t>
      </w:r>
      <w:r>
        <w:rPr>
          <w:b/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 xml:space="preserve">иккинчи томондан </w:t>
      </w:r>
      <w:r>
        <w:rPr>
          <w:b/>
          <w:bCs/>
          <w:color w:val="000000"/>
          <w:spacing w:val="-9"/>
          <w:sz w:val="22"/>
          <w:szCs w:val="22"/>
        </w:rPr>
        <w:t>Кегейли</w:t>
      </w:r>
      <w:r>
        <w:rPr>
          <w:sz w:val="22"/>
          <w:szCs w:val="22"/>
          <w:lang w:val="uz-Cyrl-UZ"/>
        </w:rPr>
        <w:t xml:space="preserve"> Т</w:t>
      </w:r>
      <w:r>
        <w:rPr>
          <w:b/>
          <w:sz w:val="22"/>
          <w:szCs w:val="22"/>
          <w:lang w:val="uz-Cyrl-UZ"/>
        </w:rPr>
        <w:t>ЙФУК</w:t>
      </w:r>
      <w:r>
        <w:rPr>
          <w:sz w:val="22"/>
          <w:szCs w:val="22"/>
          <w:lang w:val="uz-Cyrl-UZ"/>
        </w:rPr>
        <w:t xml:space="preserve"> келгусида </w:t>
      </w:r>
      <w:r>
        <w:rPr>
          <w:b/>
          <w:sz w:val="22"/>
          <w:szCs w:val="22"/>
          <w:lang w:val="uz-Cyrl-UZ"/>
        </w:rPr>
        <w:t xml:space="preserve">«Буюртмачи» </w:t>
      </w:r>
      <w:r>
        <w:rPr>
          <w:sz w:val="22"/>
          <w:szCs w:val="22"/>
          <w:lang w:val="uz-Cyrl-UZ"/>
        </w:rPr>
        <w:t xml:space="preserve">деб номланади,корхона номидан буйрук асосида иш юритувчи корхона бош мухандиси 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  <w:lang w:val="uz-Cyrl-UZ"/>
        </w:rPr>
        <w:t>.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  <w:lang w:val="uz-Cyrl-UZ"/>
        </w:rPr>
        <w:t>.</w:t>
      </w:r>
      <w:r>
        <w:rPr>
          <w:b/>
          <w:sz w:val="22"/>
          <w:szCs w:val="22"/>
        </w:rPr>
        <w:t>Пирназаров</w:t>
      </w:r>
      <w:r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ўзаро келишиб ушбу шартномани туздилар.</w:t>
      </w:r>
    </w:p>
    <w:p w:rsidR="00413F4D" w:rsidRDefault="00413F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</w:p>
    <w:p w:rsidR="00413F4D" w:rsidRDefault="00490C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Шартнома мазмуни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1.1. «Бажарувчи», «Буюртмачи» </w:t>
      </w:r>
      <w:r>
        <w:rPr>
          <w:sz w:val="22"/>
          <w:szCs w:val="22"/>
          <w:lang w:val="uz-Cyrl-UZ"/>
        </w:rPr>
        <w:t xml:space="preserve">буюртмасига асосан </w:t>
      </w:r>
      <w:r>
        <w:rPr>
          <w:sz w:val="22"/>
          <w:szCs w:val="22"/>
          <w:u w:val="single"/>
          <w:lang w:val="uz-Cyrl-UZ"/>
        </w:rPr>
        <w:t>давлат ва махаллий ахамиятидаги умумфойдаланувдаги автомобиль йуллари</w:t>
      </w:r>
      <w:r>
        <w:rPr>
          <w:sz w:val="22"/>
          <w:szCs w:val="22"/>
          <w:u w:val="single"/>
        </w:rPr>
        <w:t>ни</w:t>
      </w:r>
      <w:r>
        <w:rPr>
          <w:sz w:val="22"/>
          <w:szCs w:val="22"/>
          <w:u w:val="single"/>
          <w:lang w:val="uz-Cyrl-UZ"/>
        </w:rPr>
        <w:t xml:space="preserve"> жорий таъмирлаш, кишки қаров, табиий офат ва </w:t>
      </w:r>
      <w:r>
        <w:rPr>
          <w:sz w:val="22"/>
          <w:szCs w:val="22"/>
          <w:u w:val="single"/>
        </w:rPr>
        <w:t xml:space="preserve">пудрат ишлари </w:t>
      </w:r>
      <w:r>
        <w:rPr>
          <w:sz w:val="22"/>
          <w:szCs w:val="22"/>
          <w:u w:val="single"/>
          <w:lang w:val="uz-Cyrl-UZ"/>
        </w:rPr>
        <w:t xml:space="preserve">объектларида ўзининг </w:t>
      </w:r>
      <w:r>
        <w:rPr>
          <w:sz w:val="22"/>
          <w:szCs w:val="22"/>
          <w:lang w:val="uz-Cyrl-UZ"/>
        </w:rPr>
        <w:t>техник соз бўлган</w:t>
      </w:r>
      <w:r>
        <w:rPr>
          <w:sz w:val="22"/>
          <w:szCs w:val="22"/>
        </w:rPr>
        <w:t xml:space="preserve"> </w:t>
      </w:r>
      <w:r>
        <w:rPr>
          <w:b/>
          <w:sz w:val="23"/>
          <w:szCs w:val="23"/>
        </w:rPr>
        <w:t>_________________</w:t>
      </w:r>
      <w:r>
        <w:rPr>
          <w:sz w:val="23"/>
          <w:szCs w:val="23"/>
        </w:rPr>
        <w:t xml:space="preserve"> русумли давлат белг</w:t>
      </w:r>
      <w:r>
        <w:rPr>
          <w:sz w:val="23"/>
          <w:szCs w:val="23"/>
        </w:rPr>
        <w:t xml:space="preserve">иси </w:t>
      </w:r>
      <w:r>
        <w:rPr>
          <w:b/>
          <w:sz w:val="23"/>
          <w:szCs w:val="23"/>
        </w:rPr>
        <w:t>______________</w:t>
      </w:r>
      <w:r>
        <w:rPr>
          <w:sz w:val="23"/>
          <w:szCs w:val="23"/>
        </w:rPr>
        <w:t xml:space="preserve"> булган </w:t>
      </w:r>
      <w:r>
        <w:rPr>
          <w:sz w:val="23"/>
          <w:szCs w:val="23"/>
          <w:lang w:val="uz-Cyrl-UZ"/>
        </w:rPr>
        <w:t>автотранспортни</w:t>
      </w:r>
      <w:r>
        <w:rPr>
          <w:sz w:val="22"/>
          <w:szCs w:val="22"/>
          <w:lang w:val="uz-Cyrl-UZ"/>
        </w:rPr>
        <w:t xml:space="preserve"> ажратади</w:t>
      </w:r>
      <w:r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«Буюртмачи» «Бажарувчи»нинг кўрсатган автотранспорт хизматлари учун «Бажарувчи»нинг давлат экспертиза хулосаси нархлари ва нархларга келишув баённомалари асосида,«Буюртмачи»нинг лойиха смета хужжатларига </w:t>
      </w:r>
      <w:r>
        <w:rPr>
          <w:sz w:val="22"/>
          <w:szCs w:val="22"/>
          <w:lang w:val="uz-Cyrl-UZ"/>
        </w:rPr>
        <w:t xml:space="preserve">киритилган нархларидан ошмаган холда тўловни амалга оширади. </w:t>
      </w:r>
    </w:p>
    <w:p w:rsidR="00413F4D" w:rsidRDefault="00413F4D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</w:p>
    <w:p w:rsidR="00413F4D" w:rsidRDefault="00490C2F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 xml:space="preserve">                                                             </w:t>
      </w:r>
      <w:r>
        <w:rPr>
          <w:b/>
          <w:bCs/>
          <w:sz w:val="22"/>
          <w:szCs w:val="22"/>
        </w:rPr>
        <w:t>2.Томонларнинг мажбуриятлари.</w:t>
      </w:r>
    </w:p>
    <w:p w:rsidR="00413F4D" w:rsidRDefault="00490C2F">
      <w:pPr>
        <w:numPr>
          <w:ilvl w:val="1"/>
          <w:numId w:val="1"/>
        </w:numPr>
        <w:jc w:val="both"/>
        <w:rPr>
          <w:color w:val="FF0000"/>
          <w:sz w:val="22"/>
          <w:szCs w:val="22"/>
          <w:u w:val="single"/>
          <w:lang w:val="uz-Cyrl-UZ"/>
        </w:rPr>
      </w:pPr>
      <w:r>
        <w:rPr>
          <w:sz w:val="22"/>
          <w:szCs w:val="22"/>
        </w:rPr>
        <w:t xml:space="preserve">2.1. </w:t>
      </w:r>
      <w:r>
        <w:rPr>
          <w:color w:val="FF0000"/>
          <w:sz w:val="22"/>
          <w:szCs w:val="22"/>
          <w:u w:val="single"/>
        </w:rPr>
        <w:t>«Буюртмачи» куйидаги мажбуриятларни уз зиммасига олади: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а) Объектларда </w:t>
      </w:r>
      <w:r>
        <w:rPr>
          <w:sz w:val="22"/>
          <w:szCs w:val="22"/>
        </w:rPr>
        <w:t xml:space="preserve">автотранспорт </w:t>
      </w:r>
      <w:r>
        <w:rPr>
          <w:sz w:val="22"/>
          <w:szCs w:val="22"/>
          <w:lang w:val="uz-Cyrl-UZ"/>
        </w:rPr>
        <w:t>хизматларини</w:t>
      </w:r>
      <w:r>
        <w:rPr>
          <w:sz w:val="22"/>
          <w:szCs w:val="22"/>
          <w:lang w:val="uz-Cyrl-UZ"/>
        </w:rPr>
        <w:t xml:space="preserve"> курсатиш даврида, техник саволларни, хар-хил камчиликларни хал кила оладиган ягона жавобгар шахсни тайинлайди.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б)  </w:t>
      </w:r>
      <w:r>
        <w:rPr>
          <w:sz w:val="20"/>
          <w:szCs w:val="20"/>
          <w:lang w:val="uz-Cyrl-UZ"/>
        </w:rPr>
        <w:t>«Буюртмачи» автотранспорт ажратиш учун олдиндан талабнома беради ёки томонлар махсус келишган усул асосида хизматларни бажарилишини талаб ки</w:t>
      </w:r>
      <w:r>
        <w:rPr>
          <w:sz w:val="20"/>
          <w:szCs w:val="20"/>
          <w:lang w:val="uz-Cyrl-UZ"/>
        </w:rPr>
        <w:t>лади ва ушбу хизматлар учун пул маблаглари тулайди.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в) Ишлаб чикариш жараёнида  “Бажарувчи” томонидан ажратилган автотранспортларини  ёнилғи махсулотлари билан таъминлайди ва ёнилги махсулоти суммасини бажарилган ишлар суммасидан айириб қолинади. 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г) «Буюртмачи» «Бажарувчи»дан жалб килинган автотранспортларни амалда бажарилган ишлари учун шартноманинг 1-булим, 1,1-бандида курсатилган нархлар асосида туловни амалга ош</w:t>
      </w:r>
      <w:r>
        <w:rPr>
          <w:sz w:val="22"/>
          <w:szCs w:val="22"/>
          <w:lang w:val="uz-Cyrl-UZ"/>
        </w:rPr>
        <w:t xml:space="preserve">иради. 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д) «Буюртмачи» ва «Бажарувчи» автотранспортларни «Бажарувчи»нинг манзилидан «Буюртмачи» объектига олиб бориш ва кайтариб келиш харажатларини “Бажарувчи” томонидан амалга оширилади.</w:t>
      </w:r>
    </w:p>
    <w:p w:rsidR="00413F4D" w:rsidRDefault="00413F4D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</w:p>
    <w:p w:rsidR="00413F4D" w:rsidRDefault="00490C2F">
      <w:pPr>
        <w:numPr>
          <w:ilvl w:val="1"/>
          <w:numId w:val="1"/>
        </w:numPr>
        <w:jc w:val="both"/>
        <w:rPr>
          <w:color w:val="FF0000"/>
          <w:sz w:val="22"/>
          <w:szCs w:val="22"/>
          <w:u w:val="single"/>
          <w:lang w:val="uz-Cyrl-UZ"/>
        </w:rPr>
      </w:pPr>
      <w:r>
        <w:rPr>
          <w:sz w:val="22"/>
          <w:szCs w:val="22"/>
          <w:lang w:val="uz-Cyrl-UZ"/>
        </w:rPr>
        <w:t>2.</w:t>
      </w:r>
      <w:r>
        <w:rPr>
          <w:sz w:val="22"/>
          <w:szCs w:val="22"/>
        </w:rPr>
        <w:t xml:space="preserve">2 </w:t>
      </w:r>
      <w:r>
        <w:rPr>
          <w:sz w:val="22"/>
          <w:szCs w:val="22"/>
          <w:lang w:val="uz-Cyrl-UZ"/>
        </w:rPr>
        <w:t xml:space="preserve">  </w:t>
      </w:r>
      <w:r>
        <w:rPr>
          <w:color w:val="FF0000"/>
          <w:sz w:val="22"/>
          <w:szCs w:val="22"/>
          <w:u w:val="single"/>
          <w:lang w:val="uz-Cyrl-UZ"/>
        </w:rPr>
        <w:t xml:space="preserve">«Бажарувчи» </w:t>
      </w:r>
      <w:r>
        <w:rPr>
          <w:color w:val="FF0000"/>
          <w:sz w:val="22"/>
          <w:szCs w:val="22"/>
          <w:u w:val="single"/>
        </w:rPr>
        <w:t>куйидаги мажбуриятларни уз зиммасига олади: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а) </w:t>
      </w:r>
      <w:r>
        <w:rPr>
          <w:sz w:val="20"/>
          <w:szCs w:val="20"/>
          <w:lang w:val="uz-Cyrl-UZ"/>
        </w:rPr>
        <w:t>О</w:t>
      </w:r>
      <w:r>
        <w:rPr>
          <w:sz w:val="20"/>
          <w:szCs w:val="20"/>
          <w:lang w:val="uz-Cyrl-UZ"/>
        </w:rPr>
        <w:t>бъектларда ишларни бажариш хамда автотранспорт хизматларини курсатиш даврида техника, ёнгин ва харакат хавфсизлиги коидаларига риоя қилади, хар кандай конунчилик меьёрлардан четга чикишга тула жавоб беради</w:t>
      </w:r>
      <w:r>
        <w:rPr>
          <w:sz w:val="22"/>
          <w:szCs w:val="22"/>
          <w:lang w:val="uz-Cyrl-UZ"/>
        </w:rPr>
        <w:t>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б) «Буюртмачи» буюртмасига асосан техник жихатдан</w:t>
      </w:r>
      <w:r>
        <w:rPr>
          <w:sz w:val="22"/>
          <w:szCs w:val="22"/>
          <w:lang w:val="uz-Cyrl-UZ"/>
        </w:rPr>
        <w:t xml:space="preserve"> соз ва бутун автотранспорт хизматларини ажратади ва буларга жавобгар шахсни тайинлайди.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в) </w:t>
      </w:r>
      <w:r>
        <w:rPr>
          <w:sz w:val="22"/>
          <w:szCs w:val="22"/>
          <w:lang w:val="uz-Cyrl-UZ"/>
        </w:rPr>
        <w:t xml:space="preserve">«Буюртмачи» </w:t>
      </w:r>
      <w:r>
        <w:rPr>
          <w:sz w:val="22"/>
          <w:szCs w:val="22"/>
        </w:rPr>
        <w:t>буюртмасини уз вактида ва сифатли бажариб беришни кафолатлайди.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г) «Бажарувчи» уз хайдовчи ва механизаторларга хизмат хаки, техник каров ишлари хизмати,</w:t>
      </w:r>
      <w:r>
        <w:rPr>
          <w:sz w:val="22"/>
          <w:szCs w:val="22"/>
          <w:lang w:val="uz-Cyrl-UZ"/>
        </w:rPr>
        <w:t xml:space="preserve"> эхтиёт кисмлар </w:t>
      </w:r>
      <w:r w:rsidRPr="00177869">
        <w:rPr>
          <w:sz w:val="22"/>
          <w:szCs w:val="22"/>
          <w:lang w:val="uz-Cyrl-UZ"/>
        </w:rPr>
        <w:t>ва</w:t>
      </w:r>
      <w:r w:rsidRPr="0017786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хайдовчи</w:t>
      </w:r>
      <w:r w:rsidRPr="00177869">
        <w:rPr>
          <w:sz w:val="22"/>
          <w:szCs w:val="22"/>
          <w:lang w:val="uz-Cyrl-UZ"/>
        </w:rPr>
        <w:t>ни</w:t>
      </w:r>
      <w:r w:rsidRPr="00177869">
        <w:rPr>
          <w:sz w:val="22"/>
          <w:szCs w:val="22"/>
          <w:lang w:val="uz-Cyrl-UZ"/>
        </w:rPr>
        <w:t xml:space="preserve"> озик-овкати </w:t>
      </w:r>
      <w:r>
        <w:rPr>
          <w:sz w:val="22"/>
          <w:szCs w:val="22"/>
          <w:lang w:val="uz-Cyrl-UZ"/>
        </w:rPr>
        <w:t>билан таъминлайди.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177869">
        <w:rPr>
          <w:sz w:val="22"/>
          <w:szCs w:val="22"/>
          <w:lang w:val="uz-Cyrl-UZ"/>
        </w:rPr>
        <w:t>д</w:t>
      </w:r>
      <w:r>
        <w:rPr>
          <w:sz w:val="22"/>
          <w:szCs w:val="22"/>
          <w:lang w:val="uz-Cyrl-UZ"/>
        </w:rPr>
        <w:t>) Мазкур шартнома расмийлаштириш мобайнида ва кейинчалик бажарилаётган пайтда «Бажарувчи» ушбу шартнома шартларини тулик бажаришга етарли рухсат (лицензия) хужжатларига эгалигини, ва хи</w:t>
      </w:r>
      <w:r>
        <w:rPr>
          <w:sz w:val="22"/>
          <w:szCs w:val="22"/>
          <w:lang w:val="uz-Cyrl-UZ"/>
        </w:rPr>
        <w:t>зматларини бажаришга бошка тускинлик йуклигини, шартнома имзолашга мансабдор шахснинг хукуки борлигини, хисоб китоблар аник булишини, шунингдек шартномага керакли иловалар тугрилигини уз зиммасига олади.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177869">
        <w:rPr>
          <w:sz w:val="22"/>
          <w:szCs w:val="22"/>
          <w:lang w:val="uz-Cyrl-UZ"/>
        </w:rPr>
        <w:t>е</w:t>
      </w:r>
      <w:r>
        <w:rPr>
          <w:sz w:val="22"/>
          <w:szCs w:val="22"/>
          <w:lang w:val="uz-Cyrl-UZ"/>
        </w:rPr>
        <w:t>) “Бажарувчи” хар ойнинг 30 кунигача бажарилган ишл</w:t>
      </w:r>
      <w:r>
        <w:rPr>
          <w:sz w:val="22"/>
          <w:szCs w:val="22"/>
          <w:lang w:val="uz-Cyrl-UZ"/>
        </w:rPr>
        <w:t xml:space="preserve">арнинг расмийлаштирилган хужжатларига асосан «Буюртмачига» хисоб варагини топширишни уз зиммасига олади. </w:t>
      </w:r>
    </w:p>
    <w:p w:rsidR="00413F4D" w:rsidRDefault="00490C2F">
      <w:pPr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 xml:space="preserve">      ф) “Бажарувчининг” ажратган автотранспорт воситаси корхона томонидан белгиланган визифаларни бажармаган ёки сифатсиз бажарган холларда бир маротаба ёзма огохлантириш хати берилади, агар ушбу холат такрорланса шартнома бир томонлама бекор қилинади.</w:t>
      </w:r>
    </w:p>
    <w:p w:rsidR="00413F4D" w:rsidRDefault="00413F4D">
      <w:pPr>
        <w:jc w:val="center"/>
        <w:rPr>
          <w:b/>
          <w:bCs/>
          <w:sz w:val="22"/>
          <w:szCs w:val="22"/>
          <w:lang w:val="uz-Cyrl-UZ"/>
        </w:rPr>
      </w:pPr>
    </w:p>
    <w:p w:rsidR="00413F4D" w:rsidRDefault="00490C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3.Шартноманинг ба</w:t>
      </w:r>
      <w:r>
        <w:rPr>
          <w:b/>
          <w:bCs/>
          <w:sz w:val="22"/>
          <w:szCs w:val="22"/>
          <w:lang w:val="uz-Cyrl-UZ"/>
        </w:rPr>
        <w:t>ҳ</w:t>
      </w:r>
      <w:r>
        <w:rPr>
          <w:b/>
          <w:bCs/>
          <w:sz w:val="22"/>
          <w:szCs w:val="22"/>
        </w:rPr>
        <w:t>оси.</w:t>
      </w:r>
    </w:p>
    <w:p w:rsidR="00413F4D" w:rsidRDefault="00490C2F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3.1. Шартноманинг тахминий киймати амалдаги нархларда бошка харажатлар ва ККС лар билан тахминан </w:t>
      </w:r>
      <w:r>
        <w:rPr>
          <w:b/>
          <w:color w:val="FF0000"/>
          <w:sz w:val="22"/>
          <w:szCs w:val="22"/>
        </w:rPr>
        <w:t>_______________________ (</w:t>
      </w:r>
      <w:r>
        <w:rPr>
          <w:b/>
          <w:color w:val="FF0000"/>
          <w:sz w:val="22"/>
          <w:szCs w:val="22"/>
          <w:lang w:val="uz-Cyrl-UZ"/>
        </w:rPr>
        <w:t>_________________________________</w:t>
      </w:r>
      <w:r>
        <w:rPr>
          <w:b/>
          <w:color w:val="FF0000"/>
          <w:sz w:val="22"/>
          <w:szCs w:val="22"/>
        </w:rPr>
        <w:t xml:space="preserve">) </w:t>
      </w:r>
      <w:r>
        <w:rPr>
          <w:sz w:val="22"/>
          <w:szCs w:val="22"/>
        </w:rPr>
        <w:t>сумни ташкил этади.</w:t>
      </w:r>
    </w:p>
    <w:p w:rsidR="00413F4D" w:rsidRDefault="00490C2F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3.2. Шартнома киймати очик хисобланиб, Узбекистон </w:t>
      </w:r>
      <w:r>
        <w:rPr>
          <w:sz w:val="22"/>
          <w:szCs w:val="22"/>
        </w:rPr>
        <w:t>Республикаси Вазирлар Махкамаси томонидан чикарилган карорлар ва норматив хужжатларга асосан узгариши мумкин.</w:t>
      </w:r>
    </w:p>
    <w:p w:rsidR="00413F4D" w:rsidRDefault="00490C2F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3.3. Курсатилган хизматлар хакини хисоблаш учун «Буюртмачи»нинг тасдикланган экспертиза хулосаси ва лойихавий нархлар асос килиб олинади.   </w:t>
      </w:r>
    </w:p>
    <w:p w:rsidR="00413F4D" w:rsidRDefault="00413F4D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</w:p>
    <w:p w:rsidR="00413F4D" w:rsidRDefault="00490C2F">
      <w:pPr>
        <w:numPr>
          <w:ilvl w:val="1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4.Хи</w:t>
      </w:r>
      <w:r>
        <w:rPr>
          <w:b/>
          <w:bCs/>
          <w:sz w:val="22"/>
          <w:szCs w:val="22"/>
        </w:rPr>
        <w:t>соб – китоб тартиби.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«Буюртмачи» тасдикланган бирламчи хужжатларга (ТТН, маълумотномага) асосан </w:t>
      </w:r>
      <w:r>
        <w:rPr>
          <w:sz w:val="22"/>
          <w:szCs w:val="22"/>
          <w:lang w:val="uz-Cyrl-UZ"/>
        </w:rPr>
        <w:t xml:space="preserve">«Бажарувчи» </w:t>
      </w:r>
      <w:r>
        <w:rPr>
          <w:sz w:val="22"/>
          <w:szCs w:val="22"/>
        </w:rPr>
        <w:t xml:space="preserve">реестр тузади ва «Буюртмачи»га хисобот ойининг 30 санасигача  хисоб-фактура оркали такдим килинади.    </w:t>
      </w:r>
    </w:p>
    <w:p w:rsidR="00413F4D" w:rsidRDefault="00490C2F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</w:rPr>
        <w:lastRenderedPageBreak/>
        <w:t>4.2.  «Буюртмачи», «Бажарувчи»</w:t>
      </w:r>
      <w:r>
        <w:rPr>
          <w:sz w:val="22"/>
          <w:szCs w:val="22"/>
          <w:lang w:val="uz-Cyrl-UZ"/>
        </w:rPr>
        <w:t>га шартно</w:t>
      </w:r>
      <w:r>
        <w:rPr>
          <w:sz w:val="22"/>
          <w:szCs w:val="22"/>
          <w:lang w:val="uz-Cyrl-UZ"/>
        </w:rPr>
        <w:t>мада к</w:t>
      </w:r>
      <w:r>
        <w:rPr>
          <w:sz w:val="22"/>
          <w:szCs w:val="22"/>
        </w:rPr>
        <w:t>урсат</w:t>
      </w:r>
      <w:r>
        <w:rPr>
          <w:sz w:val="22"/>
          <w:szCs w:val="22"/>
          <w:lang w:val="uz-Cyrl-UZ"/>
        </w:rPr>
        <w:t>ил</w:t>
      </w:r>
      <w:r>
        <w:rPr>
          <w:sz w:val="22"/>
          <w:szCs w:val="22"/>
        </w:rPr>
        <w:t>ган ишлар хажмидан</w:t>
      </w:r>
      <w:r>
        <w:rPr>
          <w:sz w:val="22"/>
          <w:szCs w:val="22"/>
          <w:lang w:val="uz-Cyrl-UZ"/>
        </w:rPr>
        <w:t xml:space="preserve"> келиб чиққан нархга нисбатан, </w:t>
      </w:r>
      <w:r>
        <w:rPr>
          <w:sz w:val="22"/>
          <w:szCs w:val="22"/>
        </w:rPr>
        <w:t xml:space="preserve">«Буюртмачи» ва «Бажарувчи» узаро келишивига асосан </w:t>
      </w:r>
      <w:r>
        <w:rPr>
          <w:b/>
          <w:color w:val="FF0000"/>
          <w:sz w:val="22"/>
          <w:szCs w:val="22"/>
          <w:lang w:val="uz-Cyrl-UZ"/>
        </w:rPr>
        <w:t>_________</w:t>
      </w:r>
      <w:r>
        <w:rPr>
          <w:b/>
          <w:color w:val="FF0000"/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миқдоригача </w:t>
      </w:r>
      <w:r>
        <w:rPr>
          <w:sz w:val="22"/>
          <w:szCs w:val="22"/>
        </w:rPr>
        <w:t>олдиндан туловни амалга ошириши мумкин.</w:t>
      </w:r>
      <w:r>
        <w:rPr>
          <w:sz w:val="22"/>
          <w:szCs w:val="22"/>
          <w:lang w:val="uz-Cyrl-UZ"/>
        </w:rPr>
        <w:t xml:space="preserve"> </w:t>
      </w:r>
    </w:p>
    <w:p w:rsidR="00413F4D" w:rsidRDefault="00490C2F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4.3. «Буюртмачи» бажарилган ишлар учун тулов суммасини Ўзбекистон Республикаси </w:t>
      </w:r>
      <w:r>
        <w:rPr>
          <w:sz w:val="22"/>
          <w:szCs w:val="22"/>
          <w:lang w:val="uz-Cyrl-UZ"/>
        </w:rPr>
        <w:t xml:space="preserve">Молия вазирлиги хузуридаги Республика йўл жамғармасидан олгандан сўнг, тасдиқланган хужжатларга асосан «Бажарувчи» га тулаб беради. </w:t>
      </w:r>
    </w:p>
    <w:p w:rsidR="00413F4D" w:rsidRDefault="00413F4D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bookmarkStart w:id="0" w:name="_GoBack"/>
      <w:bookmarkEnd w:id="0"/>
    </w:p>
    <w:p w:rsidR="00413F4D" w:rsidRDefault="00490C2F">
      <w:pPr>
        <w:numPr>
          <w:ilvl w:val="1"/>
          <w:numId w:val="1"/>
        </w:numPr>
        <w:jc w:val="both"/>
        <w:rPr>
          <w:b/>
          <w:sz w:val="22"/>
          <w:szCs w:val="22"/>
          <w:lang w:val="uz-Cyrl-UZ"/>
        </w:rPr>
      </w:pPr>
      <w:r w:rsidRPr="00177869">
        <w:rPr>
          <w:b/>
          <w:sz w:val="22"/>
          <w:szCs w:val="22"/>
          <w:lang w:val="uz-Cyrl-UZ"/>
        </w:rPr>
        <w:t xml:space="preserve">                                                         </w:t>
      </w:r>
      <w:r>
        <w:rPr>
          <w:b/>
          <w:sz w:val="22"/>
          <w:szCs w:val="22"/>
          <w:lang w:val="uz-Cyrl-UZ"/>
        </w:rPr>
        <w:t xml:space="preserve">5. </w:t>
      </w:r>
      <w:r>
        <w:rPr>
          <w:b/>
          <w:sz w:val="22"/>
          <w:szCs w:val="22"/>
        </w:rPr>
        <w:t>Томонларнинг мулкий жавобгарлиги</w:t>
      </w:r>
      <w:r>
        <w:rPr>
          <w:b/>
          <w:sz w:val="22"/>
          <w:szCs w:val="22"/>
          <w:lang w:val="uz-Cyrl-UZ"/>
        </w:rPr>
        <w:t>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5.1. Бажарувчи: Ишларни бажармаган ёки хизмат курсатмаган холларда кечиктирилган хар бир </w:t>
      </w:r>
      <w:r>
        <w:rPr>
          <w:sz w:val="22"/>
          <w:szCs w:val="22"/>
          <w:lang w:val="uz-Cyrl-UZ"/>
        </w:rPr>
        <w:t xml:space="preserve">кун учун мажбурият бажарилмаган кисмининг 0,4 фоизи, аммо кечиктирилган </w:t>
      </w:r>
      <w:r w:rsidRPr="00177869">
        <w:rPr>
          <w:sz w:val="22"/>
          <w:szCs w:val="22"/>
          <w:lang w:val="uz-Cyrl-UZ"/>
        </w:rPr>
        <w:t>5</w:t>
      </w:r>
      <w:r>
        <w:rPr>
          <w:sz w:val="22"/>
          <w:szCs w:val="22"/>
          <w:lang w:val="uz-Cyrl-UZ"/>
        </w:rPr>
        <w:t>0 % фоиздан ортик булмаган микдорида пения тулайди.</w:t>
      </w:r>
    </w:p>
    <w:p w:rsidR="00413F4D" w:rsidRDefault="00490C2F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5.2 “Буюртмачи” “Бажарувчи”нинг кўрсатган хизматлар хақини кечиктирганда, кечиктирилган хар бир кун учун бажарилган ишлар қийматини</w:t>
      </w:r>
      <w:r>
        <w:rPr>
          <w:sz w:val="22"/>
          <w:szCs w:val="22"/>
          <w:lang w:val="uz-Cyrl-UZ"/>
        </w:rPr>
        <w:t>нг 0</w:t>
      </w:r>
      <w:r w:rsidR="00177869">
        <w:rPr>
          <w:sz w:val="22"/>
          <w:szCs w:val="22"/>
          <w:lang w:val="uz-Cyrl-UZ"/>
        </w:rPr>
        <w:t>,</w:t>
      </w:r>
      <w:r w:rsidR="00177869" w:rsidRPr="00177869">
        <w:rPr>
          <w:sz w:val="22"/>
          <w:szCs w:val="22"/>
          <w:lang w:val="uz-Cyrl-UZ"/>
        </w:rPr>
        <w:t>1</w:t>
      </w:r>
      <w:r>
        <w:rPr>
          <w:sz w:val="22"/>
          <w:szCs w:val="22"/>
          <w:lang w:val="uz-Cyrl-UZ"/>
        </w:rPr>
        <w:t xml:space="preserve"> фоизи, аммо кечиктирилган сумманинг </w:t>
      </w:r>
      <w:r w:rsidR="00177869" w:rsidRPr="00177869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0% дан ортиқ бўлмаган миқдорида пеня тўлайди.</w:t>
      </w:r>
    </w:p>
    <w:p w:rsidR="00413F4D" w:rsidRDefault="00490C2F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6.Шартномани амал килиши.</w:t>
      </w:r>
    </w:p>
    <w:p w:rsidR="00413F4D" w:rsidRDefault="00490C2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>6.1</w:t>
      </w:r>
      <w:r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Шартнома </w:t>
      </w:r>
      <w:r>
        <w:rPr>
          <w:color w:val="FF0000"/>
          <w:sz w:val="22"/>
          <w:szCs w:val="22"/>
          <w:lang w:val="uz-Cyrl-UZ"/>
        </w:rPr>
        <w:t>томонлар уртасида имзоланган</w:t>
      </w:r>
      <w:r>
        <w:rPr>
          <w:sz w:val="22"/>
          <w:szCs w:val="22"/>
        </w:rPr>
        <w:t xml:space="preserve"> кунидан </w:t>
      </w:r>
      <w:r>
        <w:rPr>
          <w:sz w:val="22"/>
          <w:szCs w:val="22"/>
          <w:lang w:val="uz-Cyrl-UZ"/>
        </w:rPr>
        <w:t>бошлаб кучга киради ва</w:t>
      </w:r>
      <w:r>
        <w:rPr>
          <w:b/>
          <w:color w:val="FF0000"/>
          <w:sz w:val="22"/>
          <w:szCs w:val="22"/>
          <w:lang w:val="uz-Cyrl-UZ"/>
        </w:rPr>
        <w:t xml:space="preserve"> «_____» ____________ _________ йилга </w:t>
      </w:r>
      <w:r>
        <w:rPr>
          <w:sz w:val="22"/>
          <w:szCs w:val="22"/>
          <w:lang w:val="uz-Cyrl-UZ"/>
        </w:rPr>
        <w:t>кадар амалда булади.</w:t>
      </w:r>
    </w:p>
    <w:p w:rsidR="00413F4D" w:rsidRDefault="00490C2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uz-Cyrl-UZ"/>
        </w:rPr>
        <w:t>6.2. Шартномани кучини йукотиши ушбу шартнома буйича олинган мажбуриятлар буйича эътирозларни якунига етказиб хал килиш учун таъсир килмайди.</w:t>
      </w:r>
    </w:p>
    <w:p w:rsidR="00413F4D" w:rsidRDefault="00413F4D">
      <w:pPr>
        <w:jc w:val="both"/>
        <w:rPr>
          <w:sz w:val="22"/>
          <w:szCs w:val="22"/>
          <w:lang w:val="uz-Cyrl-UZ"/>
        </w:rPr>
      </w:pPr>
    </w:p>
    <w:p w:rsidR="00413F4D" w:rsidRDefault="00490C2F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7. Шартномани бекор килиши.</w:t>
      </w:r>
    </w:p>
    <w:p w:rsidR="00413F4D" w:rsidRDefault="00490C2F">
      <w:pPr>
        <w:ind w:firstLine="36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7.1. Мазкур шартнома куйидаги холларда бекор килиши мумкин: «Буюртмачи»  туловларни а</w:t>
      </w:r>
      <w:r>
        <w:rPr>
          <w:sz w:val="22"/>
          <w:szCs w:val="22"/>
          <w:lang w:val="uz-Cyrl-UZ"/>
        </w:rPr>
        <w:t xml:space="preserve">малга оширишга кодир булмай колганда; «Бажарувчи» шартномада курсатилган хизматларини уз вактида ёки керакли хажмида бажармаслиги окибатида, «Буюртмачи» га ушбу хизматларнинг ахамияти колмаганда; Объект концервация килинганда; Форс-мажор холатлари вужудга </w:t>
      </w:r>
      <w:r>
        <w:rPr>
          <w:sz w:val="22"/>
          <w:szCs w:val="22"/>
          <w:lang w:val="uz-Cyrl-UZ"/>
        </w:rPr>
        <w:t>келганда.Узаро икки томон келишуви асосида амалга оширилади.</w:t>
      </w:r>
    </w:p>
    <w:p w:rsidR="00413F4D" w:rsidRDefault="00490C2F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8. Бошка шартлар.</w:t>
      </w:r>
    </w:p>
    <w:p w:rsidR="00413F4D" w:rsidRDefault="00490C2F">
      <w:pPr>
        <w:ind w:firstLine="36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8.1. Шартнома мажбуриятларини бажармаслик окибатида келиб чикан низолар Ўзбекистон Республикаси конунчилиги доирасида Кунгирот тумани иктисодий судида хал этилади.</w:t>
      </w:r>
      <w:r>
        <w:rPr>
          <w:sz w:val="22"/>
          <w:szCs w:val="22"/>
          <w:lang w:val="uz-Cyrl-UZ"/>
        </w:rPr>
        <w:tab/>
      </w:r>
    </w:p>
    <w:p w:rsidR="00413F4D" w:rsidRDefault="00490C2F">
      <w:pPr>
        <w:ind w:firstLine="360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uz-Cyrl-UZ"/>
        </w:rPr>
        <w:t xml:space="preserve">           </w:t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                                                  </w:t>
      </w:r>
      <w:r>
        <w:rPr>
          <w:b/>
          <w:sz w:val="22"/>
          <w:szCs w:val="22"/>
          <w:lang w:val="en-US"/>
        </w:rPr>
        <w:t>9.</w:t>
      </w:r>
      <w:r>
        <w:rPr>
          <w:b/>
          <w:bCs/>
          <w:sz w:val="22"/>
          <w:szCs w:val="22"/>
        </w:rPr>
        <w:t>Томонларнинг  манзили:</w:t>
      </w:r>
    </w:p>
    <w:p w:rsidR="00413F4D" w:rsidRDefault="00413F4D">
      <w:pPr>
        <w:ind w:firstLine="360"/>
        <w:jc w:val="both"/>
        <w:rPr>
          <w:b/>
          <w:bCs/>
          <w:sz w:val="22"/>
          <w:szCs w:val="22"/>
        </w:rPr>
      </w:pPr>
    </w:p>
    <w:p w:rsidR="00413F4D" w:rsidRDefault="00413F4D">
      <w:pPr>
        <w:ind w:firstLine="360"/>
        <w:jc w:val="both"/>
        <w:rPr>
          <w:sz w:val="22"/>
          <w:szCs w:val="22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5102"/>
        <w:gridCol w:w="534"/>
        <w:gridCol w:w="4560"/>
      </w:tblGrid>
      <w:tr w:rsidR="00413F4D">
        <w:trPr>
          <w:trHeight w:val="378"/>
          <w:jc w:val="center"/>
        </w:trPr>
        <w:tc>
          <w:tcPr>
            <w:tcW w:w="5102" w:type="dxa"/>
          </w:tcPr>
          <w:p w:rsidR="00413F4D" w:rsidRDefault="00490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 xml:space="preserve">«БУЮРТМАЧИ»  </w:t>
            </w:r>
          </w:p>
        </w:tc>
        <w:tc>
          <w:tcPr>
            <w:tcW w:w="534" w:type="dxa"/>
          </w:tcPr>
          <w:p w:rsidR="00413F4D" w:rsidRDefault="0041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</w:p>
        </w:tc>
        <w:tc>
          <w:tcPr>
            <w:tcW w:w="4560" w:type="dxa"/>
          </w:tcPr>
          <w:p w:rsidR="00413F4D" w:rsidRDefault="00490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«БАЖАРУВЧИ»</w:t>
            </w:r>
          </w:p>
        </w:tc>
      </w:tr>
      <w:tr w:rsidR="00413F4D">
        <w:trPr>
          <w:jc w:val="center"/>
        </w:trPr>
        <w:tc>
          <w:tcPr>
            <w:tcW w:w="5102" w:type="dxa"/>
          </w:tcPr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>Қ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егейли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 xml:space="preserve"> ТЙФУК</w:t>
            </w:r>
          </w:p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  <w:lang w:val="uz-Cyrl-UZ"/>
              </w:rPr>
            </w:pPr>
            <w:r>
              <w:rPr>
                <w:color w:val="000000"/>
                <w:spacing w:val="-7"/>
                <w:sz w:val="22"/>
                <w:szCs w:val="22"/>
                <w:lang w:val="uz-Cyrl-UZ"/>
              </w:rPr>
              <w:t xml:space="preserve">Манзили: Р.К. </w:t>
            </w:r>
            <w:r>
              <w:rPr>
                <w:bCs/>
                <w:color w:val="000000"/>
                <w:spacing w:val="-9"/>
                <w:sz w:val="22"/>
                <w:szCs w:val="22"/>
                <w:lang w:val="uz-Cyrl-UZ"/>
              </w:rPr>
              <w:t>Қ</w:t>
            </w:r>
            <w:r>
              <w:rPr>
                <w:bCs/>
                <w:color w:val="000000"/>
                <w:spacing w:val="-9"/>
                <w:sz w:val="22"/>
                <w:szCs w:val="22"/>
              </w:rPr>
              <w:t>егейли</w:t>
            </w:r>
            <w:r>
              <w:rPr>
                <w:color w:val="000000"/>
                <w:spacing w:val="-7"/>
                <w:sz w:val="22"/>
                <w:szCs w:val="22"/>
                <w:lang w:val="uz-Cyrl-UZ"/>
              </w:rPr>
              <w:t xml:space="preserve"> тумани  </w:t>
            </w:r>
            <w:r>
              <w:rPr>
                <w:color w:val="000000"/>
                <w:spacing w:val="-7"/>
                <w:sz w:val="22"/>
                <w:szCs w:val="22"/>
              </w:rPr>
              <w:t>Халкабад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гузари-1</w:t>
            </w:r>
            <w:r>
              <w:rPr>
                <w:color w:val="000000"/>
                <w:spacing w:val="-6"/>
                <w:sz w:val="22"/>
                <w:szCs w:val="22"/>
                <w:lang w:val="uz-Cyrl-UZ"/>
              </w:rPr>
              <w:t xml:space="preserve"> </w:t>
            </w:r>
          </w:p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х/р: 2021 0000 </w:t>
            </w:r>
            <w:r>
              <w:rPr>
                <w:color w:val="000000"/>
                <w:spacing w:val="-5"/>
                <w:sz w:val="22"/>
                <w:szCs w:val="22"/>
              </w:rPr>
              <w:t>9004 2155 9001</w:t>
            </w:r>
          </w:p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Банк: </w:t>
            </w:r>
            <w:r>
              <w:rPr>
                <w:color w:val="000000"/>
                <w:spacing w:val="-5"/>
                <w:sz w:val="22"/>
                <w:szCs w:val="22"/>
              </w:rPr>
              <w:t>Ипотека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банк, К</w:t>
            </w:r>
            <w:r>
              <w:rPr>
                <w:color w:val="000000"/>
                <w:spacing w:val="-5"/>
                <w:sz w:val="22"/>
                <w:szCs w:val="22"/>
              </w:rPr>
              <w:t>К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филиали</w:t>
            </w:r>
          </w:p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МФО: 00</w:t>
            </w:r>
            <w:r>
              <w:rPr>
                <w:color w:val="000000"/>
                <w:spacing w:val="-6"/>
                <w:sz w:val="22"/>
                <w:szCs w:val="22"/>
              </w:rPr>
              <w:t>621</w:t>
            </w:r>
            <w:r>
              <w:rPr>
                <w:color w:val="000000"/>
                <w:spacing w:val="-6"/>
                <w:sz w:val="22"/>
                <w:szCs w:val="22"/>
              </w:rPr>
              <w:t>,  ИНН: 20</w:t>
            </w:r>
            <w:r>
              <w:rPr>
                <w:color w:val="000000"/>
                <w:spacing w:val="-6"/>
                <w:sz w:val="22"/>
                <w:szCs w:val="22"/>
              </w:rPr>
              <w:t>0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381 </w:t>
            </w:r>
            <w:r>
              <w:rPr>
                <w:color w:val="000000"/>
                <w:spacing w:val="-6"/>
                <w:sz w:val="22"/>
                <w:szCs w:val="22"/>
              </w:rPr>
              <w:t>764</w:t>
            </w:r>
          </w:p>
          <w:p w:rsidR="00413F4D" w:rsidRDefault="00413F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413F4D" w:rsidRDefault="00413F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413F4D" w:rsidRDefault="00413F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</w:p>
          <w:p w:rsidR="00413F4D" w:rsidRDefault="00490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  <w:lang w:val="uz-Cyrl-UZ"/>
              </w:rPr>
              <w:t>Қ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егейли</w:t>
            </w:r>
            <w:r>
              <w:rPr>
                <w:b/>
                <w:color w:val="FFFFFF"/>
                <w:spacing w:val="-9"/>
                <w:sz w:val="22"/>
                <w:szCs w:val="22"/>
                <w:lang w:val="uz-Cyrl-UZ"/>
              </w:rPr>
              <w:t>,,</w:t>
            </w:r>
            <w:r>
              <w:rPr>
                <w:b/>
                <w:color w:val="000000"/>
                <w:spacing w:val="-9"/>
                <w:sz w:val="22"/>
                <w:szCs w:val="22"/>
                <w:lang w:val="uz-Cyrl-UZ"/>
              </w:rPr>
              <w:t>ТЙФУК</w:t>
            </w:r>
            <w:r>
              <w:rPr>
                <w:b/>
                <w:color w:val="FFFFFF"/>
                <w:spacing w:val="-9"/>
                <w:sz w:val="22"/>
                <w:szCs w:val="22"/>
                <w:lang w:val="uz-Cyrl-UZ"/>
              </w:rPr>
              <w:t xml:space="preserve">, </w:t>
            </w:r>
            <w:r>
              <w:rPr>
                <w:b/>
                <w:color w:val="000000"/>
                <w:spacing w:val="-9"/>
                <w:sz w:val="22"/>
                <w:szCs w:val="22"/>
                <w:lang w:val="uz-Cyrl-UZ"/>
              </w:rPr>
              <w:t xml:space="preserve">     бошлиги:__________</w:t>
            </w:r>
            <w:r>
              <w:rPr>
                <w:b/>
                <w:color w:val="000000"/>
                <w:spacing w:val="-9"/>
                <w:sz w:val="22"/>
                <w:szCs w:val="22"/>
              </w:rPr>
              <w:t>Т</w:t>
            </w:r>
            <w:r>
              <w:rPr>
                <w:b/>
                <w:color w:val="000000"/>
                <w:spacing w:val="-9"/>
                <w:sz w:val="22"/>
                <w:szCs w:val="22"/>
                <w:lang w:val="uz-Cyrl-UZ"/>
              </w:rPr>
              <w:t>.</w:t>
            </w:r>
            <w:r>
              <w:rPr>
                <w:b/>
                <w:color w:val="000000"/>
                <w:spacing w:val="-9"/>
                <w:sz w:val="22"/>
                <w:szCs w:val="22"/>
              </w:rPr>
              <w:t>А</w:t>
            </w:r>
            <w:r>
              <w:rPr>
                <w:b/>
                <w:color w:val="000000"/>
                <w:spacing w:val="-8"/>
                <w:sz w:val="22"/>
                <w:szCs w:val="22"/>
                <w:lang w:val="uz-Cyrl-UZ"/>
              </w:rPr>
              <w:t>.</w:t>
            </w:r>
            <w:r>
              <w:rPr>
                <w:b/>
                <w:color w:val="000000"/>
                <w:spacing w:val="-8"/>
                <w:sz w:val="22"/>
                <w:szCs w:val="22"/>
              </w:rPr>
              <w:t>Пирназаров</w:t>
            </w:r>
          </w:p>
        </w:tc>
        <w:tc>
          <w:tcPr>
            <w:tcW w:w="534" w:type="dxa"/>
          </w:tcPr>
          <w:p w:rsidR="00413F4D" w:rsidRDefault="0041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  <w:lang w:val="uz-Cyrl-UZ"/>
              </w:rPr>
            </w:pPr>
          </w:p>
        </w:tc>
        <w:tc>
          <w:tcPr>
            <w:tcW w:w="4560" w:type="dxa"/>
          </w:tcPr>
          <w:p w:rsidR="00413F4D" w:rsidRDefault="00490C2F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9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</w:t>
            </w:r>
          </w:p>
        </w:tc>
      </w:tr>
    </w:tbl>
    <w:p w:rsidR="00413F4D" w:rsidRDefault="00413F4D">
      <w:pPr>
        <w:rPr>
          <w:sz w:val="23"/>
          <w:szCs w:val="23"/>
          <w:lang w:val="uz-Cyrl-UZ"/>
        </w:rPr>
      </w:pPr>
    </w:p>
    <w:sectPr w:rsidR="00413F4D">
      <w:footerReference w:type="even" r:id="rId9"/>
      <w:footerReference w:type="default" r:id="rId10"/>
      <w:pgSz w:w="11906" w:h="16838"/>
      <w:pgMar w:top="284" w:right="567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2F" w:rsidRDefault="00490C2F">
      <w:r>
        <w:separator/>
      </w:r>
    </w:p>
  </w:endnote>
  <w:endnote w:type="continuationSeparator" w:id="0">
    <w:p w:rsidR="00490C2F" w:rsidRDefault="0049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4D" w:rsidRDefault="00490C2F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3F4D" w:rsidRDefault="00413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4D" w:rsidRDefault="00490C2F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7869">
      <w:rPr>
        <w:rStyle w:val="a3"/>
        <w:noProof/>
      </w:rPr>
      <w:t>2</w:t>
    </w:r>
    <w:r>
      <w:rPr>
        <w:rStyle w:val="a3"/>
      </w:rPr>
      <w:fldChar w:fldCharType="end"/>
    </w:r>
  </w:p>
  <w:p w:rsidR="00413F4D" w:rsidRDefault="00413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2F" w:rsidRDefault="00490C2F">
      <w:r>
        <w:separator/>
      </w:r>
    </w:p>
  </w:footnote>
  <w:footnote w:type="continuationSeparator" w:id="0">
    <w:p w:rsidR="00490C2F" w:rsidRDefault="0049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BD2"/>
    <w:multiLevelType w:val="multilevel"/>
    <w:tmpl w:val="225E3B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0A"/>
    <w:rsid w:val="0002192A"/>
    <w:rsid w:val="00022100"/>
    <w:rsid w:val="00043164"/>
    <w:rsid w:val="00064C53"/>
    <w:rsid w:val="0006636F"/>
    <w:rsid w:val="00067B7D"/>
    <w:rsid w:val="00070FEF"/>
    <w:rsid w:val="0007671B"/>
    <w:rsid w:val="000B39C3"/>
    <w:rsid w:val="000B3E8A"/>
    <w:rsid w:val="000C7D6F"/>
    <w:rsid w:val="000D5E4B"/>
    <w:rsid w:val="000E2558"/>
    <w:rsid w:val="000E2B1F"/>
    <w:rsid w:val="000E76DE"/>
    <w:rsid w:val="000E7A5D"/>
    <w:rsid w:val="000F05C5"/>
    <w:rsid w:val="000F48BF"/>
    <w:rsid w:val="00103DDE"/>
    <w:rsid w:val="00126C19"/>
    <w:rsid w:val="001276F3"/>
    <w:rsid w:val="00172FD9"/>
    <w:rsid w:val="001734AF"/>
    <w:rsid w:val="00174D8A"/>
    <w:rsid w:val="00175649"/>
    <w:rsid w:val="00177869"/>
    <w:rsid w:val="00182F74"/>
    <w:rsid w:val="00197813"/>
    <w:rsid w:val="001A2EE4"/>
    <w:rsid w:val="001B26C7"/>
    <w:rsid w:val="001E56F2"/>
    <w:rsid w:val="001E65EF"/>
    <w:rsid w:val="00200846"/>
    <w:rsid w:val="002024AB"/>
    <w:rsid w:val="002032D9"/>
    <w:rsid w:val="00224DB3"/>
    <w:rsid w:val="002330C7"/>
    <w:rsid w:val="00235669"/>
    <w:rsid w:val="002379C2"/>
    <w:rsid w:val="002447F3"/>
    <w:rsid w:val="002508F0"/>
    <w:rsid w:val="00273C35"/>
    <w:rsid w:val="002768F4"/>
    <w:rsid w:val="00276E3E"/>
    <w:rsid w:val="00287080"/>
    <w:rsid w:val="0029089D"/>
    <w:rsid w:val="002B5A48"/>
    <w:rsid w:val="002C30B0"/>
    <w:rsid w:val="002C6050"/>
    <w:rsid w:val="002E0243"/>
    <w:rsid w:val="002E5CDF"/>
    <w:rsid w:val="00310AEB"/>
    <w:rsid w:val="003158C5"/>
    <w:rsid w:val="00325CD2"/>
    <w:rsid w:val="00332420"/>
    <w:rsid w:val="00354E1E"/>
    <w:rsid w:val="00356A70"/>
    <w:rsid w:val="00361B70"/>
    <w:rsid w:val="00374EA8"/>
    <w:rsid w:val="0038289E"/>
    <w:rsid w:val="003B6F80"/>
    <w:rsid w:val="003B7609"/>
    <w:rsid w:val="003C3A86"/>
    <w:rsid w:val="003C434B"/>
    <w:rsid w:val="003C7D2E"/>
    <w:rsid w:val="003D3262"/>
    <w:rsid w:val="003E68CE"/>
    <w:rsid w:val="004007C4"/>
    <w:rsid w:val="004057EB"/>
    <w:rsid w:val="00406103"/>
    <w:rsid w:val="00406902"/>
    <w:rsid w:val="00406BA0"/>
    <w:rsid w:val="004078F8"/>
    <w:rsid w:val="00413F4D"/>
    <w:rsid w:val="00415808"/>
    <w:rsid w:val="004172AD"/>
    <w:rsid w:val="00417A4B"/>
    <w:rsid w:val="004218F5"/>
    <w:rsid w:val="00423C27"/>
    <w:rsid w:val="004274E2"/>
    <w:rsid w:val="0043012D"/>
    <w:rsid w:val="00465143"/>
    <w:rsid w:val="00470C97"/>
    <w:rsid w:val="004854F2"/>
    <w:rsid w:val="00490C2F"/>
    <w:rsid w:val="004B3139"/>
    <w:rsid w:val="004B5BEF"/>
    <w:rsid w:val="004D0FA2"/>
    <w:rsid w:val="004D2B95"/>
    <w:rsid w:val="004E71DF"/>
    <w:rsid w:val="004F55B4"/>
    <w:rsid w:val="004F5F01"/>
    <w:rsid w:val="005027F3"/>
    <w:rsid w:val="00521B7C"/>
    <w:rsid w:val="00526C8D"/>
    <w:rsid w:val="00540335"/>
    <w:rsid w:val="00556056"/>
    <w:rsid w:val="00576666"/>
    <w:rsid w:val="00576CD6"/>
    <w:rsid w:val="00577CF4"/>
    <w:rsid w:val="00581AC5"/>
    <w:rsid w:val="0058761F"/>
    <w:rsid w:val="005A37FC"/>
    <w:rsid w:val="005A5DA8"/>
    <w:rsid w:val="005B329F"/>
    <w:rsid w:val="005D7114"/>
    <w:rsid w:val="005E2854"/>
    <w:rsid w:val="005F1C05"/>
    <w:rsid w:val="005F51CE"/>
    <w:rsid w:val="005F688E"/>
    <w:rsid w:val="00603EE9"/>
    <w:rsid w:val="0060787A"/>
    <w:rsid w:val="006206AB"/>
    <w:rsid w:val="00642244"/>
    <w:rsid w:val="00650455"/>
    <w:rsid w:val="0066229E"/>
    <w:rsid w:val="0067643B"/>
    <w:rsid w:val="006866B3"/>
    <w:rsid w:val="006A1BEA"/>
    <w:rsid w:val="006A31AA"/>
    <w:rsid w:val="006A62FB"/>
    <w:rsid w:val="006C21EC"/>
    <w:rsid w:val="006C5046"/>
    <w:rsid w:val="006D0D2D"/>
    <w:rsid w:val="006D459E"/>
    <w:rsid w:val="006E237E"/>
    <w:rsid w:val="007001B4"/>
    <w:rsid w:val="00700FE9"/>
    <w:rsid w:val="0070173A"/>
    <w:rsid w:val="00705936"/>
    <w:rsid w:val="00712BB1"/>
    <w:rsid w:val="0072501B"/>
    <w:rsid w:val="00730455"/>
    <w:rsid w:val="00731F0C"/>
    <w:rsid w:val="00735127"/>
    <w:rsid w:val="00735DFE"/>
    <w:rsid w:val="00763C67"/>
    <w:rsid w:val="007808CB"/>
    <w:rsid w:val="0079643B"/>
    <w:rsid w:val="00797552"/>
    <w:rsid w:val="007A6495"/>
    <w:rsid w:val="007B7FCD"/>
    <w:rsid w:val="007E2DA2"/>
    <w:rsid w:val="007E3333"/>
    <w:rsid w:val="007E721E"/>
    <w:rsid w:val="007F0740"/>
    <w:rsid w:val="008002B7"/>
    <w:rsid w:val="008324EA"/>
    <w:rsid w:val="008461CB"/>
    <w:rsid w:val="00854CCD"/>
    <w:rsid w:val="0086587F"/>
    <w:rsid w:val="008702B9"/>
    <w:rsid w:val="00887853"/>
    <w:rsid w:val="008957C7"/>
    <w:rsid w:val="00895E0E"/>
    <w:rsid w:val="008A2337"/>
    <w:rsid w:val="008B13BB"/>
    <w:rsid w:val="008B5299"/>
    <w:rsid w:val="008C2C4C"/>
    <w:rsid w:val="008C2D64"/>
    <w:rsid w:val="008D2F5E"/>
    <w:rsid w:val="008D5C21"/>
    <w:rsid w:val="008E08A6"/>
    <w:rsid w:val="008F4349"/>
    <w:rsid w:val="00917601"/>
    <w:rsid w:val="00925E9C"/>
    <w:rsid w:val="00927EF1"/>
    <w:rsid w:val="00932571"/>
    <w:rsid w:val="00935CFA"/>
    <w:rsid w:val="00941193"/>
    <w:rsid w:val="00954194"/>
    <w:rsid w:val="00965DAF"/>
    <w:rsid w:val="009709A3"/>
    <w:rsid w:val="00976508"/>
    <w:rsid w:val="009869DF"/>
    <w:rsid w:val="00997769"/>
    <w:rsid w:val="009A021C"/>
    <w:rsid w:val="009A75E0"/>
    <w:rsid w:val="009B577E"/>
    <w:rsid w:val="009C2A5A"/>
    <w:rsid w:val="009D47B9"/>
    <w:rsid w:val="009E2A27"/>
    <w:rsid w:val="009F3E82"/>
    <w:rsid w:val="00A17EEE"/>
    <w:rsid w:val="00A322A3"/>
    <w:rsid w:val="00A36F01"/>
    <w:rsid w:val="00A429BD"/>
    <w:rsid w:val="00A47E0B"/>
    <w:rsid w:val="00A5694B"/>
    <w:rsid w:val="00A625E1"/>
    <w:rsid w:val="00A64879"/>
    <w:rsid w:val="00A64A3C"/>
    <w:rsid w:val="00A6527F"/>
    <w:rsid w:val="00A67F1D"/>
    <w:rsid w:val="00A70865"/>
    <w:rsid w:val="00A72401"/>
    <w:rsid w:val="00A7452C"/>
    <w:rsid w:val="00A80971"/>
    <w:rsid w:val="00A87488"/>
    <w:rsid w:val="00A911D7"/>
    <w:rsid w:val="00A95DF2"/>
    <w:rsid w:val="00AA5AB5"/>
    <w:rsid w:val="00AC35DF"/>
    <w:rsid w:val="00AC5458"/>
    <w:rsid w:val="00AD281E"/>
    <w:rsid w:val="00B0115B"/>
    <w:rsid w:val="00B2100B"/>
    <w:rsid w:val="00B246E7"/>
    <w:rsid w:val="00B263F6"/>
    <w:rsid w:val="00B27532"/>
    <w:rsid w:val="00B442F2"/>
    <w:rsid w:val="00B55622"/>
    <w:rsid w:val="00B717E0"/>
    <w:rsid w:val="00B8182C"/>
    <w:rsid w:val="00B85C69"/>
    <w:rsid w:val="00BA0490"/>
    <w:rsid w:val="00BA1D38"/>
    <w:rsid w:val="00BA2614"/>
    <w:rsid w:val="00BB26C8"/>
    <w:rsid w:val="00BB6808"/>
    <w:rsid w:val="00BD21E8"/>
    <w:rsid w:val="00BD34A7"/>
    <w:rsid w:val="00BE1EE8"/>
    <w:rsid w:val="00BF1832"/>
    <w:rsid w:val="00BF3FA7"/>
    <w:rsid w:val="00C1083A"/>
    <w:rsid w:val="00C156B8"/>
    <w:rsid w:val="00C21785"/>
    <w:rsid w:val="00C272F8"/>
    <w:rsid w:val="00C31F1E"/>
    <w:rsid w:val="00C4348E"/>
    <w:rsid w:val="00C5428C"/>
    <w:rsid w:val="00C622B6"/>
    <w:rsid w:val="00C90D8A"/>
    <w:rsid w:val="00C9331E"/>
    <w:rsid w:val="00C955F4"/>
    <w:rsid w:val="00C95FF6"/>
    <w:rsid w:val="00CA3E2F"/>
    <w:rsid w:val="00CA6C18"/>
    <w:rsid w:val="00CB1707"/>
    <w:rsid w:val="00CB5DA1"/>
    <w:rsid w:val="00CB6967"/>
    <w:rsid w:val="00CD0366"/>
    <w:rsid w:val="00CE520E"/>
    <w:rsid w:val="00D058AD"/>
    <w:rsid w:val="00D11C33"/>
    <w:rsid w:val="00D1386D"/>
    <w:rsid w:val="00D17445"/>
    <w:rsid w:val="00D26CB5"/>
    <w:rsid w:val="00D3633B"/>
    <w:rsid w:val="00D41C93"/>
    <w:rsid w:val="00D51DE4"/>
    <w:rsid w:val="00D52B44"/>
    <w:rsid w:val="00D54309"/>
    <w:rsid w:val="00D655A4"/>
    <w:rsid w:val="00D67B3E"/>
    <w:rsid w:val="00D8199E"/>
    <w:rsid w:val="00D84821"/>
    <w:rsid w:val="00D937F9"/>
    <w:rsid w:val="00D95E2D"/>
    <w:rsid w:val="00DA5B1A"/>
    <w:rsid w:val="00DC5198"/>
    <w:rsid w:val="00DD24F6"/>
    <w:rsid w:val="00DD2A23"/>
    <w:rsid w:val="00DF571C"/>
    <w:rsid w:val="00DF5F08"/>
    <w:rsid w:val="00E03620"/>
    <w:rsid w:val="00E25A37"/>
    <w:rsid w:val="00E26497"/>
    <w:rsid w:val="00E327FF"/>
    <w:rsid w:val="00E35B06"/>
    <w:rsid w:val="00E35C93"/>
    <w:rsid w:val="00E366C3"/>
    <w:rsid w:val="00E377D4"/>
    <w:rsid w:val="00E408C9"/>
    <w:rsid w:val="00E447B5"/>
    <w:rsid w:val="00E46339"/>
    <w:rsid w:val="00E65DC3"/>
    <w:rsid w:val="00E67B00"/>
    <w:rsid w:val="00E7083B"/>
    <w:rsid w:val="00E718D9"/>
    <w:rsid w:val="00E865B3"/>
    <w:rsid w:val="00E87951"/>
    <w:rsid w:val="00EA4FC3"/>
    <w:rsid w:val="00EB73E0"/>
    <w:rsid w:val="00EC389C"/>
    <w:rsid w:val="00EC51FA"/>
    <w:rsid w:val="00EC5B34"/>
    <w:rsid w:val="00ED120A"/>
    <w:rsid w:val="00ED37BF"/>
    <w:rsid w:val="00ED7607"/>
    <w:rsid w:val="00EF08D9"/>
    <w:rsid w:val="00EF6DE1"/>
    <w:rsid w:val="00F079AE"/>
    <w:rsid w:val="00F1197B"/>
    <w:rsid w:val="00F32A6D"/>
    <w:rsid w:val="00F33FB5"/>
    <w:rsid w:val="00F40E86"/>
    <w:rsid w:val="00F42BB4"/>
    <w:rsid w:val="00F501A6"/>
    <w:rsid w:val="00F532BD"/>
    <w:rsid w:val="00F7256E"/>
    <w:rsid w:val="00F8072B"/>
    <w:rsid w:val="00F85449"/>
    <w:rsid w:val="00F91140"/>
    <w:rsid w:val="00FA28E5"/>
    <w:rsid w:val="00FA2EC4"/>
    <w:rsid w:val="00FA49D4"/>
    <w:rsid w:val="00FB6A64"/>
    <w:rsid w:val="00FD0735"/>
    <w:rsid w:val="00FD27E2"/>
    <w:rsid w:val="00FF26B7"/>
    <w:rsid w:val="02E16CA8"/>
    <w:rsid w:val="0BCE5375"/>
    <w:rsid w:val="33934634"/>
    <w:rsid w:val="3FC84745"/>
    <w:rsid w:val="5C9E07B0"/>
    <w:rsid w:val="7113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10EE"/>
  <w15:docId w15:val="{C2EE64AE-7F67-46FA-BFDD-6C24B227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360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tabs>
        <w:tab w:val="left" w:pos="1080"/>
      </w:tabs>
      <w:ind w:left="1080" w:hanging="720"/>
      <w:jc w:val="both"/>
    </w:pPr>
    <w:rPr>
      <w:sz w:val="28"/>
    </w:rPr>
  </w:style>
  <w:style w:type="paragraph" w:styleId="a9">
    <w:name w:val="Subtitle"/>
    <w:basedOn w:val="a"/>
    <w:qFormat/>
    <w:pPr>
      <w:jc w:val="center"/>
    </w:pPr>
    <w:rPr>
      <w:b/>
      <w:bCs/>
      <w:sz w:val="28"/>
    </w:rPr>
  </w:style>
  <w:style w:type="table" w:styleId="aa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03D27-AC3E-47F7-86BD-F146DB23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Qamchiq MPTFK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User</cp:lastModifiedBy>
  <cp:revision>2</cp:revision>
  <cp:lastPrinted>2021-01-13T09:58:00Z</cp:lastPrinted>
  <dcterms:created xsi:type="dcterms:W3CDTF">2022-03-25T05:52:00Z</dcterms:created>
  <dcterms:modified xsi:type="dcterms:W3CDTF">2022-03-25T05:52:00Z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