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CC71DB" w:rsidRPr="00CC71DB">
        <w:rPr>
          <w:rFonts w:ascii="Times New Roman" w:hAnsi="Times New Roman"/>
          <w:b/>
          <w:szCs w:val="24"/>
        </w:rPr>
        <w:t>90 000 000 (девяносто миллионов)</w:t>
      </w:r>
      <w:r w:rsidR="00A36037" w:rsidRPr="00CC71DB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CC71DB">
        <w:rPr>
          <w:rFonts w:ascii="Times New Roman" w:hAnsi="Times New Roman"/>
          <w:b/>
          <w:szCs w:val="24"/>
        </w:rPr>
        <w:t>сум</w:t>
      </w:r>
      <w:proofErr w:type="spellEnd"/>
      <w:r w:rsidR="00A36037" w:rsidRPr="00CC71DB">
        <w:rPr>
          <w:rFonts w:ascii="Times New Roman" w:hAnsi="Times New Roman"/>
          <w:b/>
          <w:szCs w:val="24"/>
        </w:rPr>
        <w:t>, в т.ч. НДС</w:t>
      </w:r>
      <w:r w:rsidRPr="00CC71DB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CC71DB" w:rsidRDefault="00CC71D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CC71D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CC71DB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CC71DB">
        <w:rPr>
          <w:rFonts w:eastAsia="Times New Roman"/>
          <w:b/>
          <w:sz w:val="24"/>
          <w:szCs w:val="24"/>
        </w:rPr>
        <w:t xml:space="preserve">  </w:t>
      </w:r>
      <w:r w:rsidR="00304544" w:rsidRPr="00CC71DB">
        <w:rPr>
          <w:rFonts w:eastAsia="Times New Roman"/>
          <w:b/>
          <w:sz w:val="24"/>
          <w:szCs w:val="24"/>
        </w:rPr>
        <w:t xml:space="preserve">ФИЛИАЛА </w:t>
      </w:r>
      <w:r w:rsidRPr="00CC71DB">
        <w:rPr>
          <w:rFonts w:eastAsia="Times New Roman"/>
          <w:b/>
          <w:sz w:val="24"/>
          <w:szCs w:val="24"/>
        </w:rPr>
        <w:t>СП ООО «</w:t>
      </w:r>
      <w:r w:rsidRPr="00CC71DB">
        <w:rPr>
          <w:rFonts w:eastAsia="Times New Roman"/>
          <w:b/>
          <w:sz w:val="24"/>
          <w:szCs w:val="24"/>
          <w:lang w:val="en-US"/>
        </w:rPr>
        <w:t>RWC</w:t>
      </w:r>
      <w:r w:rsidRPr="00CC71DB">
        <w:rPr>
          <w:rFonts w:eastAsia="Times New Roman"/>
          <w:b/>
          <w:sz w:val="24"/>
          <w:szCs w:val="24"/>
        </w:rPr>
        <w:t xml:space="preserve">»  </w:t>
      </w:r>
      <w:r w:rsidR="00CC71DB" w:rsidRPr="00CC71DB">
        <w:rPr>
          <w:rFonts w:eastAsia="Times New Roman"/>
          <w:b/>
          <w:sz w:val="24"/>
          <w:szCs w:val="24"/>
        </w:rPr>
        <w:t xml:space="preserve">КАШКАДАРЬИНСКОЙ </w:t>
      </w:r>
      <w:r w:rsidRPr="00CC71DB">
        <w:rPr>
          <w:rFonts w:eastAsia="Times New Roman"/>
          <w:b/>
          <w:sz w:val="24"/>
          <w:szCs w:val="24"/>
        </w:rPr>
        <w:t>ОБЛАСТИ</w:t>
      </w:r>
    </w:p>
    <w:p w:rsidR="00F358AB" w:rsidRP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p w:rsid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p w:rsidR="00CC71DB" w:rsidRPr="00F358AB" w:rsidRDefault="00CC71D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992"/>
        <w:gridCol w:w="971"/>
        <w:gridCol w:w="2987"/>
        <w:gridCol w:w="1560"/>
      </w:tblGrid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сплит-система EURO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Air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18000 BTU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9461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18709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AWT 18 PHEB оконного типа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10949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Касби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Касби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Муглон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кишлоги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 «Телеком»)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18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Касби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окон. 24000 ВТО с автозапуском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10225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Нишон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  (г. Янги Нишан,  «Телеком»)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27 Нишан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оконник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18000 ВТИ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5644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Адамташ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        (гора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Адамташ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"РТПЦ")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37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Адамташ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Nord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AS-48ND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16489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Офис         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3)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сплит-система EURO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Air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18000 BTU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9377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MSE-28HR настенный кондиционер сплит-</w:t>
            </w:r>
            <w:proofErr w:type="spellStart"/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типа,зима</w:t>
            </w:r>
            <w:proofErr w:type="spellEnd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-лето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14887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Evro-Air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41 колонного типа 41000 BTU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11940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AWT 18 PHEB оконного типа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10790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Гузарский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р-н,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п.Шуртан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УППГ 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Шуртангаз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29 Шуртан-1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ARTEL-12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17210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Офис         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3)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Офис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AQ18TSAN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16590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Чим                                                                                  (пос. Камаши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Хлопкопункт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41 Чим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ART-18HG SIG1W18HE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18684</w:t>
            </w:r>
          </w:p>
          <w:p w:rsidR="00CC71DB" w:rsidRPr="00CC71DB" w:rsidRDefault="00CC71DB" w:rsidP="00CC71DB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(г. Янги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туман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кенгаши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Хокимият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31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Миршикор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DAEWOO-18                      оконного типа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9256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Нуристан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Нуристан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общежитие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Талимарджанской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ГРЭС)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57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Нуристан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 COOLIX" СSR-18H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Карактай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 Карши, УПТС 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Нефтегазсвязь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», у/с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Карактай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23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Карактай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 COOLIX" СSR-18H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17501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Гузар   (г. Гузар, ул. Вокзальная 2, </w:t>
            </w:r>
            <w:r w:rsidRPr="00CC71D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мелькомбинат ОАО «Эл хаки»)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lastRenderedPageBreak/>
              <w:t>60 Гузар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 COOLIX" СSR-18H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17502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Бешкент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Бешкент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ул. Хамза 17,  «Телеком»)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17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Бешкент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 COOLIX" СSR-18H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17503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Камаши                                                                                  (п. Камаши, Телеком, ул. Камаши 96)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28 Камаши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18736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Гузарский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р-н,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п.Шуртан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УППГ 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Шуртангаз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29 Шуртан-1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17569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2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Гузарский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р-н, 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п.Шуртан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УППГ Шуртан-2)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59 Шуртан-2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17570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Стома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      (г. Карши, Травматологическая больница)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Стома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17571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 Карши, Университет связи                                                 (филиал ТУИТ)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58 Связь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ASW-H18A4/UYS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17572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Косон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Косон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туман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тиббиёт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бирлашмаси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Пос.Оброн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15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Косон</w:t>
            </w:r>
            <w:proofErr w:type="spellEnd"/>
          </w:p>
        </w:tc>
      </w:tr>
      <w:tr w:rsidR="00CC71DB" w:rsidRPr="00CC71DB" w:rsidTr="00CC71DB">
        <w:trPr>
          <w:trHeight w:val="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ASW-H18A4/UYW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17615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Стадион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Каршинское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УПК Узбекского общества слепых)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11 Стадион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Кондиционер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AWT 18 PHEB оконного  типа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10783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МГПЗ                                                                                 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Мубарекский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ГПЗ)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36 МГПЗ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   ASW-H18A4/LDR1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17680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Китоб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(</w:t>
            </w:r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Китаб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Телеком,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ул.Буюк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Ипак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Йули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4)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32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Китаб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    ASW-H18A4/LDR1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17681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Чирокчи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Чирокчи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ул.Ахунбабаева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2, Узел связи)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30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Чирокчи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сплит-система AUX    ASW-H18A4/LDR1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17682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Кукдумалак</w:t>
            </w:r>
            <w:proofErr w:type="spellEnd"/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район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п.Кокдумалак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Узел связи «Трансгаза»)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21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Кукдумалак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18235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Мираки    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Шахрисабзский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р-н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пос.Мираки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40 Мираки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18236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Кукдала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Кукдала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 Чайхана)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34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Кукдала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18237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Каманди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г. Карши,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ул.Маърифат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17,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махалля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Каманди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АТС)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16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Каманди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18238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Памук-2                                                                             (Вахтовый поселок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Памук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38 Памук-2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18239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Санжарбек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фазоси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» ЧФ  г. Карши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61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Санжарбек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"сплит-система" AUX ASF-H60 A5/VR1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18229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Коммутатор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г.Карши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Мустакиллик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7)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Коммутатор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18259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Шайхали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г.Шайхали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Мелкомбинат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14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Шайхали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18272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МГПЗ                                                                                 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Мубарекский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ГПЗ)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36 МГПЗ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18273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Мубарек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Мубарек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  ул. А. Тимура, Узел связи  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Узнефтегазсвязь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19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Мубарек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сплит система AUX      ASW H18A4/UZR1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18274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Акрабат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(Перевал гора 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Акробод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22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Акрабат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18710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Яккабог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Яккабаг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  ул. А. Тимура 79,  Телеграф)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35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Яккабог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18597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Тахтакарача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Тахтакарача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, РРС-Карши, «ТУММС-4»)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33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Тахтакарача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AUX ASW H18A4/UZR1 сплит система настенный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18612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Химпром                                                                     </w:t>
            </w:r>
            <w:proofErr w:type="gram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</w:t>
            </w:r>
            <w:proofErr w:type="spellStart"/>
            <w:proofErr w:type="gram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Гузарский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р-н, ул.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Беруний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111, УДП «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Шуртан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газ Киме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мажмуаси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» (ШГХК))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25 Химпром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18642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ЖБИ                                                                  (г. Карши, завод ЖБИ)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9 ЖБИ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18647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Шахрисабз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             (г.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Шахрисабз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 ул.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Беруний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111а)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46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Шахрисабз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18604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  (г. Янги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Миришкор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туман 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кенгаши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Хокимият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))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31 </w:t>
            </w:r>
            <w:proofErr w:type="spellStart"/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Миршикор</w:t>
            </w:r>
            <w:proofErr w:type="spellEnd"/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Кондиционер ART-18 HG ARTEL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18605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Памук-1                                                                               (</w:t>
            </w:r>
            <w:proofErr w:type="spellStart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Памук</w:t>
            </w:r>
            <w:proofErr w:type="spellEnd"/>
            <w:r w:rsidRPr="00CC71DB">
              <w:rPr>
                <w:rFonts w:eastAsia="Times New Roman"/>
                <w:sz w:val="24"/>
                <w:szCs w:val="24"/>
                <w:lang w:eastAsia="ar-SA"/>
              </w:rPr>
              <w:t xml:space="preserve"> 1, Узел связи  (Джумашуй))</w:t>
            </w: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20 Памук-1</w:t>
            </w:r>
          </w:p>
        </w:tc>
      </w:tr>
      <w:tr w:rsidR="00CC71DB" w:rsidRPr="00CC71DB" w:rsidTr="00CC71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71DB">
              <w:rPr>
                <w:rFonts w:eastAsia="Times New Roman"/>
                <w:sz w:val="24"/>
                <w:szCs w:val="24"/>
                <w:lang w:eastAsia="ar-SA"/>
              </w:rPr>
              <w:t>45 штук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CC71DB" w:rsidRPr="00CC71DB" w:rsidRDefault="00CC71DB" w:rsidP="00CC71DB">
            <w:pPr>
              <w:suppressAutoHyphens/>
              <w:spacing w:line="216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CC71DB" w:rsidRPr="00CC71DB" w:rsidRDefault="00CC71DB" w:rsidP="00CC71DB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CC71DB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D34DAC" w:rsidRPr="00CC71DB">
        <w:rPr>
          <w:rFonts w:eastAsia="Times New Roman"/>
          <w:b/>
          <w:sz w:val="24"/>
          <w:szCs w:val="24"/>
        </w:rPr>
        <w:t>Кашкадарьинской</w:t>
      </w:r>
      <w:bookmarkStart w:id="1" w:name="_GoBack"/>
      <w:bookmarkEnd w:id="1"/>
      <w:r w:rsidR="00D34DAC" w:rsidRPr="00CC71DB">
        <w:rPr>
          <w:rFonts w:eastAsia="Times New Roman"/>
          <w:b/>
          <w:sz w:val="24"/>
          <w:szCs w:val="24"/>
        </w:rPr>
        <w:t xml:space="preserve">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CC71DB">
          <w:footerReference w:type="default" r:id="rId8"/>
          <w:pgSz w:w="11906" w:h="16838" w:code="9"/>
          <w:pgMar w:top="709" w:right="851" w:bottom="1134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CC71DB" w:rsidRPr="00F358AB" w:rsidRDefault="00CC71D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AC3" w:rsidRDefault="00227AC3">
      <w:r>
        <w:separator/>
      </w:r>
    </w:p>
  </w:endnote>
  <w:endnote w:type="continuationSeparator" w:id="0">
    <w:p w:rsidR="00227AC3" w:rsidRDefault="0022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AC3" w:rsidRDefault="00227AC3">
      <w:r>
        <w:separator/>
      </w:r>
    </w:p>
  </w:footnote>
  <w:footnote w:type="continuationSeparator" w:id="0">
    <w:p w:rsidR="00227AC3" w:rsidRDefault="0022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3438D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27AC3"/>
    <w:rsid w:val="00245F11"/>
    <w:rsid w:val="002602DD"/>
    <w:rsid w:val="002B55D0"/>
    <w:rsid w:val="002D2C0A"/>
    <w:rsid w:val="002E01BC"/>
    <w:rsid w:val="00303D1F"/>
    <w:rsid w:val="00304544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6136C"/>
    <w:rsid w:val="0058139B"/>
    <w:rsid w:val="00595317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B201F"/>
    <w:rsid w:val="007E71EA"/>
    <w:rsid w:val="00805FDA"/>
    <w:rsid w:val="00841DF0"/>
    <w:rsid w:val="008518B1"/>
    <w:rsid w:val="0087434E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C71DB"/>
    <w:rsid w:val="00CF5AE4"/>
    <w:rsid w:val="00D056C0"/>
    <w:rsid w:val="00D11F00"/>
    <w:rsid w:val="00D213A2"/>
    <w:rsid w:val="00D22559"/>
    <w:rsid w:val="00D22B45"/>
    <w:rsid w:val="00D34DAC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E275-9C41-48E0-8A24-9AAF417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5604</Words>
  <Characters>31946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4</cp:revision>
  <dcterms:created xsi:type="dcterms:W3CDTF">2022-05-26T12:13:00Z</dcterms:created>
  <dcterms:modified xsi:type="dcterms:W3CDTF">2022-06-27T13:12:00Z</dcterms:modified>
</cp:coreProperties>
</file>