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bookmarkStart w:id="0" w:name="_GoBack"/>
      <w:bookmarkEnd w:id="0"/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241A0" w:rsidRDefault="000F4546" w:rsidP="009F43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 w:rsidRPr="003241A0">
        <w:rPr>
          <w:b/>
          <w:sz w:val="22"/>
          <w:szCs w:val="22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241A0" w:rsidRPr="003241A0">
        <w:rPr>
          <w:b/>
          <w:sz w:val="22"/>
          <w:szCs w:val="20"/>
          <w:lang w:val="uz-Cyrl-UZ"/>
        </w:rPr>
        <w:t>Т</w:t>
      </w:r>
      <w:r w:rsidR="00F872FD" w:rsidRPr="009F4347">
        <w:rPr>
          <w:b/>
          <w:sz w:val="22"/>
          <w:szCs w:val="20"/>
          <w:lang w:val="uz-Cyrl-UZ"/>
        </w:rPr>
        <w:t>.</w:t>
      </w:r>
      <w:r w:rsidR="003241A0">
        <w:rPr>
          <w:b/>
          <w:sz w:val="22"/>
          <w:szCs w:val="20"/>
          <w:lang w:val="uz-Cyrl-UZ"/>
        </w:rPr>
        <w:t>Э</w:t>
      </w:r>
      <w:r w:rsidR="004977E7">
        <w:rPr>
          <w:b/>
          <w:sz w:val="22"/>
          <w:szCs w:val="20"/>
          <w:lang w:val="uz-Cyrl-UZ"/>
        </w:rPr>
        <w:t>л</w:t>
      </w:r>
      <w:r w:rsidR="003241A0">
        <w:rPr>
          <w:b/>
          <w:sz w:val="22"/>
          <w:szCs w:val="20"/>
          <w:lang w:val="uz-Cyrl-UZ"/>
        </w:rPr>
        <w:t>назаров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>№</w:t>
      </w:r>
      <w:r w:rsidR="006E35AD">
        <w:rPr>
          <w:b/>
          <w:sz w:val="22"/>
          <w:szCs w:val="20"/>
          <w:lang w:val="uz-Cyrl-UZ"/>
        </w:rPr>
        <w:t>13</w:t>
      </w:r>
      <w:r w:rsidR="0032070C" w:rsidRPr="0032070C">
        <w:rPr>
          <w:b/>
          <w:sz w:val="22"/>
          <w:szCs w:val="20"/>
          <w:lang w:val="uz-Cyrl-UZ"/>
        </w:rPr>
        <w:t xml:space="preserve">-сонли мактаб </w:t>
      </w:r>
      <w:r w:rsidR="003241A0">
        <w:rPr>
          <w:b/>
          <w:sz w:val="22"/>
          <w:szCs w:val="20"/>
          <w:lang w:val="uz-Cyrl-UZ"/>
        </w:rPr>
        <w:t xml:space="preserve">биносини иситиш тизимни </w:t>
      </w:r>
      <w:r w:rsidR="0032070C" w:rsidRPr="0032070C">
        <w:rPr>
          <w:b/>
          <w:sz w:val="22"/>
          <w:szCs w:val="20"/>
          <w:lang w:val="uz-Cyrl-UZ"/>
        </w:rPr>
        <w:t xml:space="preserve"> лойиха смета асосида </w:t>
      </w:r>
      <w:r w:rsidR="003241A0">
        <w:rPr>
          <w:b/>
          <w:sz w:val="22"/>
          <w:szCs w:val="20"/>
          <w:lang w:val="uz-Cyrl-UZ"/>
        </w:rPr>
        <w:t xml:space="preserve">жорий тамирлаш </w:t>
      </w:r>
      <w:r w:rsidR="0032070C" w:rsidRPr="0032070C">
        <w:rPr>
          <w:b/>
          <w:sz w:val="22"/>
          <w:szCs w:val="20"/>
          <w:lang w:val="uz-Cyrl-UZ"/>
        </w:rPr>
        <w:t xml:space="preserve">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4977E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4977E7">
        <w:rPr>
          <w:sz w:val="22"/>
          <w:szCs w:val="20"/>
          <w:lang w:val="uz-Cyrl-UZ"/>
        </w:rPr>
        <w:t>___________________________________</w:t>
      </w:r>
    </w:p>
    <w:p w:rsidR="00F872FD" w:rsidRPr="00172BA9" w:rsidRDefault="004977E7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______________________________________________________________________________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3241A0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4347">
              <w:rPr>
                <w:b/>
                <w:sz w:val="20"/>
                <w:szCs w:val="20"/>
              </w:rPr>
              <w:t>НОМИ</w:t>
            </w:r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Олтинсой</w:t>
            </w:r>
            <w:proofErr w:type="spellEnd"/>
            <w:proofErr w:type="gram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:97600 </w:t>
            </w:r>
            <w:r w:rsidRPr="009F4347">
              <w:rPr>
                <w:b/>
                <w:sz w:val="20"/>
                <w:szCs w:val="20"/>
              </w:rPr>
              <w:t>Б\К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B64902">
              <w:rPr>
                <w:b/>
                <w:sz w:val="20"/>
                <w:szCs w:val="20"/>
                <w:lang w:val="uz-Cyrl-UZ"/>
              </w:rPr>
              <w:t>У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B64902">
              <w:rPr>
                <w:b/>
                <w:sz w:val="20"/>
                <w:szCs w:val="20"/>
                <w:lang w:val="uz-Cyrl-UZ"/>
              </w:rPr>
              <w:t>Орипов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FD"/>
    <w:rsid w:val="0004448D"/>
    <w:rsid w:val="000C3B54"/>
    <w:rsid w:val="000D52FC"/>
    <w:rsid w:val="000F4546"/>
    <w:rsid w:val="00134885"/>
    <w:rsid w:val="00144524"/>
    <w:rsid w:val="00172BA9"/>
    <w:rsid w:val="00190397"/>
    <w:rsid w:val="001C7739"/>
    <w:rsid w:val="001F7310"/>
    <w:rsid w:val="00302A0B"/>
    <w:rsid w:val="0032070C"/>
    <w:rsid w:val="003241A0"/>
    <w:rsid w:val="0036371F"/>
    <w:rsid w:val="00382D62"/>
    <w:rsid w:val="0039271C"/>
    <w:rsid w:val="003C12B0"/>
    <w:rsid w:val="003C61DB"/>
    <w:rsid w:val="003E2AA9"/>
    <w:rsid w:val="004607AC"/>
    <w:rsid w:val="00481865"/>
    <w:rsid w:val="004977E7"/>
    <w:rsid w:val="004F1EDF"/>
    <w:rsid w:val="00505A93"/>
    <w:rsid w:val="00550BA0"/>
    <w:rsid w:val="00553EB4"/>
    <w:rsid w:val="00645BD5"/>
    <w:rsid w:val="00666F84"/>
    <w:rsid w:val="00691AA0"/>
    <w:rsid w:val="006E35AD"/>
    <w:rsid w:val="007A4D8D"/>
    <w:rsid w:val="008E6A36"/>
    <w:rsid w:val="00975C99"/>
    <w:rsid w:val="009817A1"/>
    <w:rsid w:val="009D3C45"/>
    <w:rsid w:val="009F4347"/>
    <w:rsid w:val="00A22C9F"/>
    <w:rsid w:val="00AB5956"/>
    <w:rsid w:val="00AD3EF4"/>
    <w:rsid w:val="00B64902"/>
    <w:rsid w:val="00C71EFD"/>
    <w:rsid w:val="00DE7922"/>
    <w:rsid w:val="00F1500F"/>
    <w:rsid w:val="00F67A56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1D1E"/>
  <w15:docId w15:val="{44863015-A85E-4831-8FBF-286D6C6C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MYCOM</cp:lastModifiedBy>
  <cp:revision>2</cp:revision>
  <cp:lastPrinted>2021-12-27T09:40:00Z</cp:lastPrinted>
  <dcterms:created xsi:type="dcterms:W3CDTF">2022-06-07T11:12:00Z</dcterms:created>
  <dcterms:modified xsi:type="dcterms:W3CDTF">2022-06-07T11:12:00Z</dcterms:modified>
</cp:coreProperties>
</file>