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10" w:rsidRPr="009F6D10" w:rsidRDefault="009F6D10" w:rsidP="009F6D10">
      <w:pPr>
        <w:pStyle w:val="a5"/>
        <w:jc w:val="center"/>
        <w:rPr>
          <w:rFonts w:ascii="Times New Roman" w:hAnsi="Times New Roman"/>
          <w:b/>
          <w:snapToGrid w:val="0"/>
          <w:lang w:val="uz-Cyrl-UZ"/>
        </w:rPr>
      </w:pPr>
      <w:r w:rsidRPr="009F6D10">
        <w:rPr>
          <w:rFonts w:ascii="Times New Roman" w:hAnsi="Times New Roman"/>
          <w:b/>
          <w:snapToGrid w:val="0"/>
          <w:lang w:val="uz-Cyrl-UZ"/>
        </w:rPr>
        <w:t>ПУДРАТ   ШАРТНОМАСИ   № ____</w:t>
      </w:r>
    </w:p>
    <w:p w:rsidR="009F6D10" w:rsidRPr="009F6D10" w:rsidRDefault="009F6D10" w:rsidP="009F6D10">
      <w:pPr>
        <w:pStyle w:val="a5"/>
        <w:jc w:val="both"/>
        <w:rPr>
          <w:rFonts w:ascii="Times New Roman" w:hAnsi="Times New Roman"/>
          <w:snapToGrid w:val="0"/>
          <w:lang w:val="uz-Cyrl-UZ"/>
        </w:rPr>
      </w:pP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 xml:space="preserve">  </w:t>
      </w:r>
      <w:r w:rsidRPr="009F6D10">
        <w:rPr>
          <w:rFonts w:ascii="Times New Roman" w:hAnsi="Times New Roman"/>
          <w:snapToGrid w:val="0"/>
          <w:sz w:val="20"/>
          <w:szCs w:val="20"/>
        </w:rPr>
        <w:t>Хатирчи тумани</w:t>
      </w:r>
      <w:r w:rsidRPr="009F6D10">
        <w:rPr>
          <w:rFonts w:ascii="Times New Roman" w:hAnsi="Times New Roman"/>
          <w:snapToGrid w:val="0"/>
          <w:sz w:val="20"/>
          <w:szCs w:val="20"/>
          <w:lang w:val="uz-Cyrl-UZ"/>
        </w:rPr>
        <w:t xml:space="preserve">                                                                                                             ____ _____ 202</w:t>
      </w:r>
      <w:r w:rsidRPr="009F6D10">
        <w:rPr>
          <w:rFonts w:ascii="Times New Roman" w:hAnsi="Times New Roman"/>
          <w:snapToGrid w:val="0"/>
          <w:sz w:val="20"/>
          <w:szCs w:val="20"/>
          <w:lang w:val="en-US"/>
        </w:rPr>
        <w:t>2</w:t>
      </w:r>
      <w:r w:rsidRPr="009F6D10">
        <w:rPr>
          <w:rFonts w:ascii="Times New Roman" w:hAnsi="Times New Roman"/>
          <w:snapToGrid w:val="0"/>
          <w:sz w:val="20"/>
          <w:szCs w:val="20"/>
          <w:lang w:val="uz-Cyrl-UZ"/>
        </w:rPr>
        <w:t xml:space="preserve"> йил </w:t>
      </w:r>
    </w:p>
    <w:p w:rsidR="009F6D10" w:rsidRPr="009F6D10" w:rsidRDefault="009F6D10" w:rsidP="009F6D10">
      <w:pPr>
        <w:pStyle w:val="a5"/>
        <w:jc w:val="both"/>
        <w:rPr>
          <w:rFonts w:ascii="Times New Roman" w:hAnsi="Times New Roman"/>
          <w:snapToGrid w:val="0"/>
          <w:sz w:val="20"/>
          <w:szCs w:val="20"/>
          <w:lang w:val="uz-Cyrl-UZ"/>
        </w:rPr>
      </w:pP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 xml:space="preserve">Кейинги ўринларда "Буюртмачи" деб юритиладиган </w:t>
      </w:r>
      <w:r w:rsidRPr="009F6D10">
        <w:rPr>
          <w:rFonts w:ascii="Times New Roman" w:hAnsi="Times New Roman"/>
          <w:sz w:val="20"/>
          <w:szCs w:val="20"/>
          <w:lang w:val="uz-Cyrl-UZ"/>
        </w:rPr>
        <w:t>Хатирчи туман тиббиёт бирлашмаси</w:t>
      </w:r>
      <w:r w:rsidRPr="009F6D10">
        <w:rPr>
          <w:rFonts w:ascii="Times New Roman" w:hAnsi="Times New Roman"/>
          <w:bCs/>
          <w:i/>
          <w:iCs/>
          <w:sz w:val="20"/>
          <w:szCs w:val="20"/>
          <w:lang w:val="uz-Cyrl-UZ"/>
        </w:rPr>
        <w:t xml:space="preserve"> </w:t>
      </w:r>
      <w:r w:rsidRPr="009F6D10">
        <w:rPr>
          <w:rFonts w:ascii="Times New Roman" w:hAnsi="Times New Roman"/>
          <w:snapToGrid w:val="0"/>
          <w:sz w:val="20"/>
          <w:szCs w:val="20"/>
          <w:lang w:val="uz-Cyrl-UZ"/>
        </w:rPr>
        <w:t xml:space="preserve">номидан низом асосида иш юртиувчи рахбар Ф.Р.Усмонов бир томондан ва кейинги ўринларда "Пудратчи" деб юритиладиган ________________________ номидан Устав асосида иш кўрувчи </w:t>
      </w:r>
      <w:r w:rsidRPr="009F6D10">
        <w:rPr>
          <w:rFonts w:ascii="Times New Roman" w:hAnsi="Times New Roman"/>
          <w:sz w:val="20"/>
          <w:szCs w:val="20"/>
          <w:lang w:val="uz-Cyrl-UZ"/>
        </w:rPr>
        <w:t>_____________</w:t>
      </w:r>
      <w:r w:rsidRPr="009F6D10">
        <w:rPr>
          <w:rFonts w:ascii="Times New Roman" w:hAnsi="Times New Roman"/>
          <w:snapToGrid w:val="0"/>
          <w:sz w:val="20"/>
          <w:szCs w:val="20"/>
          <w:lang w:val="uz-Cyrl-UZ"/>
        </w:rPr>
        <w:t xml:space="preserve"> иккинчи томондан </w:t>
      </w:r>
      <w:r w:rsidRPr="009F6D10">
        <w:rPr>
          <w:rFonts w:ascii="Times New Roman" w:hAnsi="Times New Roman"/>
          <w:lang w:val="uz-Cyrl-UZ"/>
        </w:rPr>
        <w:t>____________________________ таъмирлаш</w:t>
      </w:r>
      <w:r w:rsidRPr="009F6D10">
        <w:rPr>
          <w:rFonts w:ascii="Times New Roman" w:hAnsi="Times New Roman"/>
          <w:snapToGrid w:val="0"/>
          <w:sz w:val="20"/>
          <w:szCs w:val="20"/>
          <w:lang w:val="uz-Cyrl-UZ"/>
        </w:rPr>
        <w:t xml:space="preserve"> капитал (</w:t>
      </w:r>
      <w:r w:rsidRPr="009F6D10">
        <w:rPr>
          <w:rFonts w:ascii="Times New Roman" w:hAnsi="Times New Roman"/>
          <w:snapToGrid w:val="0"/>
          <w:sz w:val="20"/>
          <w:szCs w:val="20"/>
          <w:u w:val="single"/>
          <w:lang w:val="uz-Cyrl-UZ"/>
        </w:rPr>
        <w:t>жорий</w:t>
      </w:r>
      <w:r w:rsidRPr="009F6D10">
        <w:rPr>
          <w:rFonts w:ascii="Times New Roman" w:hAnsi="Times New Roman"/>
          <w:snapToGrid w:val="0"/>
          <w:sz w:val="20"/>
          <w:szCs w:val="20"/>
          <w:lang w:val="uz-Cyrl-UZ"/>
        </w:rPr>
        <w:t>)  таъмирлаш  бўйича  қуйидаги  шартномани  туздилар.</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1</w:t>
      </w:r>
      <w:r w:rsidRPr="009F6D10">
        <w:rPr>
          <w:rFonts w:ascii="Times New Roman" w:hAnsi="Times New Roman"/>
          <w:b/>
          <w:snapToGrid w:val="0"/>
          <w:sz w:val="20"/>
          <w:szCs w:val="20"/>
          <w:lang w:val="uz-Cyrl-UZ"/>
        </w:rPr>
        <w:t>. ТАРИФЛАР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1. Бажариладиган курилиш ишлари лойихага асосан олиб борилади, беркитиладиган ишлар тасдикланганлиги тугрисидаги далолатномалар хамда курилиш нормалари ва коидаларида  назарда тутилган бошка хужжатлар ва бажарилган ишни буюртмачи томонидан тасдикланган далолатномаси  (Форма-2) асосида иш олиб борилади.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майдони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вақтинчалик иншоотлар - Пудратчи томонидан қурилиш майдонида ўрнатиладиган ва ишларни бажариш учун зарур бўлган ҳар қандай типдаги вақтинчалик бинолар ва иншоотлар;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шартнома нархини бўлиб чиқиш - ишларнинг ҳар бир босқичи ва/ёки турлари қийматини аниқ белгилаган ҳолда шартнома бўйича объектнинг умумий қийматини босқичларга тақсимлаш.</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2</w:t>
      </w:r>
      <w:r w:rsidRPr="009F6D10">
        <w:rPr>
          <w:rFonts w:ascii="Times New Roman" w:hAnsi="Times New Roman"/>
          <w:b/>
          <w:snapToGrid w:val="0"/>
          <w:sz w:val="20"/>
          <w:szCs w:val="20"/>
          <w:lang w:val="uz-Cyrl-UZ"/>
        </w:rPr>
        <w:t>. ШАРТНОМА МАВЗУСИ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 xml:space="preserve">2. Пудратчи мазкур шартнома шартларига </w:t>
      </w:r>
      <w:r w:rsidRPr="009F6D10">
        <w:rPr>
          <w:rFonts w:ascii="Times New Roman" w:hAnsi="Times New Roman"/>
          <w:lang w:val="uz-Cyrl-UZ"/>
        </w:rPr>
        <w:t>Хатирчи туман тиббиёт бирлашмасига қарашли М.Улуғбек ОШП биносини жорий таъмирлаш</w:t>
      </w:r>
      <w:r w:rsidRPr="009F6D10">
        <w:rPr>
          <w:rFonts w:ascii="Times New Roman" w:hAnsi="Times New Roman"/>
          <w:snapToGrid w:val="0"/>
          <w:sz w:val="20"/>
          <w:szCs w:val="20"/>
          <w:lang w:val="uz-Cyrl-UZ"/>
        </w:rPr>
        <w:t xml:space="preserve"> лойиҳада кўзда тутилган ҳолда жорий таъмирлаш ишларини бажариш мажбуриятини олади, Буюртмачи эса Пудратчига қурилиш ишларини бажариш учун зарур шароитлар яратиш, уларни қабул қилиш ва тўловни амалга ошириш мажбуриятини олади.</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3</w:t>
      </w:r>
      <w:r w:rsidRPr="009F6D10">
        <w:rPr>
          <w:rFonts w:ascii="Times New Roman" w:hAnsi="Times New Roman"/>
          <w:b/>
          <w:snapToGrid w:val="0"/>
          <w:sz w:val="20"/>
          <w:szCs w:val="20"/>
          <w:lang w:val="uz-Cyrl-UZ"/>
        </w:rPr>
        <w:t>. ШАРТНОМА БЎЙИЧА ИШЛАР ҚИЙМАТИ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 xml:space="preserve">3. Мазкур шартнома бўйича Пудратчи томонидан бажарилган, танлов савдоси (тендер) натижасида аниқланган ва тендер комиссиясининг қарори (2022 йил "___" ____даги  ___ -сон баённома) билан тасдиқланган ишлар қиймати барча солиқлар, йиғимлар ва ажратмаларни ўз ичига олган ҳолда жорий нархларда </w:t>
      </w:r>
      <w:r w:rsidR="00FC7BC8">
        <w:rPr>
          <w:rFonts w:ascii="Times New Roman" w:hAnsi="Times New Roman"/>
          <w:snapToGrid w:val="0"/>
          <w:color w:val="FF0000"/>
          <w:sz w:val="20"/>
          <w:szCs w:val="20"/>
          <w:lang w:val="uz-Cyrl-UZ"/>
        </w:rPr>
        <w:t>________________</w:t>
      </w:r>
      <w:r w:rsidRPr="009F6D10">
        <w:rPr>
          <w:rFonts w:ascii="Times New Roman" w:hAnsi="Times New Roman"/>
          <w:snapToGrid w:val="0"/>
          <w:sz w:val="20"/>
          <w:szCs w:val="20"/>
          <w:lang w:val="uz-Cyrl-UZ"/>
        </w:rPr>
        <w:t>(</w:t>
      </w:r>
      <w:r w:rsidR="00FC7BC8">
        <w:rPr>
          <w:rFonts w:ascii="Times New Roman" w:hAnsi="Times New Roman"/>
          <w:snapToGrid w:val="0"/>
          <w:sz w:val="20"/>
          <w:szCs w:val="20"/>
          <w:lang w:val="uz-Cyrl-UZ"/>
        </w:rPr>
        <w:t>_________________________________________________</w:t>
      </w:r>
      <w:r w:rsidRPr="009F6D10">
        <w:rPr>
          <w:rFonts w:ascii="Times New Roman" w:hAnsi="Times New Roman"/>
          <w:snapToGrid w:val="0"/>
          <w:sz w:val="20"/>
          <w:szCs w:val="20"/>
          <w:lang w:val="uz-Cyrl-UZ"/>
        </w:rPr>
        <w:t>) сўмни ташкил этади.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(сумма ёзув билан)</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4. Ишлар қиймати узил-кесил қисобланади ва кейинчалик қайта кўриб чиқилиши мумкин эмас, қуйидаги қоллар бундан мустасно:</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қийматини кўпайтиришга енгиб бўлмайдиган куч (форс-мажор) ҳолатлари сабаб бўлганда;</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ишлар ҳажми ва тури қатъий равишда ўзгартирилмайди( қонунда кузда тутилган холлар бундан мустасно);</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объектнинг қурилиши бир йилдан ортиққа ўзгартирилганда.</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5. 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6. 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4</w:t>
      </w:r>
      <w:r w:rsidRPr="009F6D10">
        <w:rPr>
          <w:rFonts w:ascii="Times New Roman" w:hAnsi="Times New Roman"/>
          <w:b/>
          <w:snapToGrid w:val="0"/>
          <w:sz w:val="20"/>
          <w:szCs w:val="20"/>
          <w:lang w:val="uz-Cyrl-UZ"/>
        </w:rPr>
        <w:t>. ПУДРАТЧИНИНГ МАЖБУРИЯТЛАРИ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7. Мазкур шартнома бўйича Пудратчи мазкур шартноманинг II бўлимида назарда тутилган ишларни бажариш учун:</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барча ишларни мазкур шартномада назарда тутилган ҳажмда ва муддатларда ўзининг кучлари ва/ёки жалб қилинган кучлар билан бажариш ҳамда ишни Буюртмачига мазкур шартнома шартларига мувофиқ топшириш;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Шартномага мувофиқ қурилиш майдонига зарур қурилиш материаллари, буюмлар, конструкциялар, асбоб-ускуналар ва бутловчи буюмлар, қурилиш техникасини етказиб бериш, уларни қабул қилиш, тушириш, омборга жойлаш ва сақлаш;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майдони ҳудудида вақтинчалик иншоотлар қуриш;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Буюртмачини пудрат шартномалари тузилиши давомида субпудратчилар билан шартномалар тузилиши, шартнома мавзуси, субпудратчининг номи ва манзили тўғрисида хабардор қилиш;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майдонида техника хавфсизлиги, ишларни бажариш вақтида атроф муҳитни, ўтқазилган дарахтларни ва ер участкасини муҳофаза қилиш бўйича зарур тадбирлар бажарилишини таъминлаш, шунингдек ёритиш чироқлари ўрнатиш;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таваккалчиликларини суғурта қилиш;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қурилиш майдони қўриқланишини таъминлаш;</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мазкур шартномада назарда тутилган барча мажбуриятларни тўлиқ ҳажмда бажариш мажбуриятини ўз зиммасига олади.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lastRenderedPageBreak/>
        <w:t>8. Пудратчи мазкур шартнома бўйича барча ишларнинг ўз кучлари билан ва субпудратчилар томонидан зарур тарзда бажарилиши ҳамда объектнинг фойдаланишга тайёр ҳолда топширилиши учун Буюртмачи олдида тўлиқ мулкий жавоб беради.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5</w:t>
      </w:r>
      <w:r w:rsidRPr="009F6D10">
        <w:rPr>
          <w:rFonts w:ascii="Times New Roman" w:hAnsi="Times New Roman"/>
          <w:b/>
          <w:snapToGrid w:val="0"/>
          <w:sz w:val="20"/>
          <w:szCs w:val="20"/>
        </w:rPr>
        <w:t>. БУЮРТМАЧИНИНГ МАЖБУРИЯТЛАРИ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9. Мазкур шартномани бажариш учун Буюртмачи: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мазкур шартнома имзоланган кундан бошлаб уч кун муддатда мазкур шартномага - иловага мувофиқ ишларни бажариш учун яроқли бўлган қурилиш майдонини объект қурилиши ва қурилиш тугаллангунгача бўлган даврда далолатнома бўйича Пудратчига бериш;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ишлар бажарилиши устидан доимий архитектура-қурилиш назоратини ва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қабул қилиб олишни таъминлаш;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Пудратчининг барча мурожаатларини ўн кун муддатда кўриб чиқиш ва қарор қабул қилиш;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молиялаштириш жадвалига биноан Пудратчига аванс бериш ва жорий молиялаштиришни амалга ошириш;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мазкур шартнома </w:t>
      </w:r>
      <w:proofErr w:type="gramStart"/>
      <w:r w:rsidRPr="009F6D10">
        <w:rPr>
          <w:rFonts w:ascii="Times New Roman" w:hAnsi="Times New Roman"/>
          <w:snapToGrid w:val="0"/>
          <w:sz w:val="20"/>
          <w:szCs w:val="20"/>
        </w:rPr>
        <w:t>имзоланган  ва</w:t>
      </w:r>
      <w:proofErr w:type="gramEnd"/>
      <w:r w:rsidRPr="009F6D10">
        <w:rPr>
          <w:rFonts w:ascii="Times New Roman" w:hAnsi="Times New Roman"/>
          <w:snapToGrid w:val="0"/>
          <w:sz w:val="20"/>
          <w:szCs w:val="20"/>
        </w:rPr>
        <w:t xml:space="preserve"> тегишли равишда руйхатга олинган кундан бошлаб  Пудратчига ишларни қабул қилиш учун зарур бўлган ижро ҳужжатлари рўйхатини тақдим этиш;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мазкур шартномада назарда тутилган мажбуриятларни тўлиқ ҳажмда бажариш мажбуриятини олади;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6</w:t>
      </w:r>
      <w:r w:rsidRPr="009F6D10">
        <w:rPr>
          <w:rFonts w:ascii="Times New Roman" w:hAnsi="Times New Roman"/>
          <w:b/>
          <w:snapToGrid w:val="0"/>
          <w:sz w:val="20"/>
          <w:szCs w:val="20"/>
        </w:rPr>
        <w:t>. ИШЛАРНИ БАЖАРИШ МУДДАТЛАРИ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10. Шартнома: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миллий валюта "сўмда" ўзаро ҳисоб-китоб қилинганда - томонлар уни имзолаган пайтдан бошлаб;</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кейинчалик ЭАВга конвертация қилган ҳолда миллий валютада "сўмда" ўзаро ҳисоб-китоб қилинганда - шартнома қонун ҳужжатларига мувофиқ рўйхатдан ўтказилгандан кейин кучга киради.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11. Пудратчи мазкур шартномага илова қилинадиган молиялаштириш жадвалига мувофиқ биринчи аванс тўлови тушган кундан бошлаб ишларни бажаришга киришади.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12. Танлов савдолари натижаси бўйича аниқланган қурилишнинг давом этиш вақти ишлар бошланган кундан эътиборан </w:t>
      </w:r>
      <w:r w:rsidRPr="009F6D10">
        <w:rPr>
          <w:rFonts w:ascii="Times New Roman" w:hAnsi="Times New Roman"/>
          <w:snapToGrid w:val="0"/>
          <w:sz w:val="20"/>
          <w:szCs w:val="20"/>
          <w:lang w:val="uz-Cyrl-UZ"/>
        </w:rPr>
        <w:t>5</w:t>
      </w:r>
      <w:r w:rsidRPr="009F6D10">
        <w:rPr>
          <w:rFonts w:ascii="Times New Roman" w:hAnsi="Times New Roman"/>
          <w:snapToGrid w:val="0"/>
          <w:sz w:val="20"/>
          <w:szCs w:val="20"/>
        </w:rPr>
        <w:t xml:space="preserve"> кунни ташкил этади.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13. Мазкур шартнома бўйича ишлар Смета </w:t>
      </w:r>
      <w:proofErr w:type="gramStart"/>
      <w:r w:rsidRPr="009F6D10">
        <w:rPr>
          <w:rFonts w:ascii="Times New Roman" w:hAnsi="Times New Roman"/>
          <w:snapToGrid w:val="0"/>
          <w:sz w:val="20"/>
          <w:szCs w:val="20"/>
        </w:rPr>
        <w:t>хужжатларига  мувофиқ</w:t>
      </w:r>
      <w:proofErr w:type="gramEnd"/>
      <w:r w:rsidRPr="009F6D10">
        <w:rPr>
          <w:rFonts w:ascii="Times New Roman" w:hAnsi="Times New Roman"/>
          <w:snapToGrid w:val="0"/>
          <w:sz w:val="20"/>
          <w:szCs w:val="20"/>
        </w:rPr>
        <w:t xml:space="preserve"> амалга оширилади.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7</w:t>
      </w:r>
      <w:r w:rsidRPr="009F6D10">
        <w:rPr>
          <w:rFonts w:ascii="Times New Roman" w:hAnsi="Times New Roman"/>
          <w:b/>
          <w:snapToGrid w:val="0"/>
          <w:sz w:val="20"/>
          <w:szCs w:val="20"/>
        </w:rPr>
        <w:t>. ТЎЛОВЛАР ВА ҲИСОБ-КИТОБЛАР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14. Буюртмачи Пудратчига шартнома бўйича ишлар умумий жорий қийматининг 30 фоизи </w:t>
      </w:r>
      <w:proofErr w:type="gramStart"/>
      <w:r w:rsidRPr="009F6D10">
        <w:rPr>
          <w:rFonts w:ascii="Times New Roman" w:hAnsi="Times New Roman"/>
          <w:snapToGrid w:val="0"/>
          <w:sz w:val="20"/>
          <w:szCs w:val="20"/>
        </w:rPr>
        <w:t>миқдорида  аванс</w:t>
      </w:r>
      <w:proofErr w:type="gramEnd"/>
      <w:r w:rsidRPr="009F6D10">
        <w:rPr>
          <w:rFonts w:ascii="Times New Roman" w:hAnsi="Times New Roman"/>
          <w:snapToGrid w:val="0"/>
          <w:sz w:val="20"/>
          <w:szCs w:val="20"/>
        </w:rPr>
        <w:t xml:space="preserve"> ўтказади, бу </w:t>
      </w:r>
      <w:r w:rsidR="00FC7BC8">
        <w:rPr>
          <w:rFonts w:ascii="Times New Roman" w:hAnsi="Times New Roman"/>
          <w:snapToGrid w:val="0"/>
          <w:color w:val="FF0000"/>
          <w:sz w:val="20"/>
          <w:szCs w:val="20"/>
          <w:lang w:val="uz-Cyrl-UZ"/>
        </w:rPr>
        <w:t>_________________________________________________</w:t>
      </w:r>
      <w:bookmarkStart w:id="0" w:name="_GoBack"/>
      <w:bookmarkEnd w:id="0"/>
      <w:r w:rsidR="00726480">
        <w:rPr>
          <w:rFonts w:ascii="Times New Roman" w:hAnsi="Times New Roman"/>
          <w:snapToGrid w:val="0"/>
          <w:color w:val="FF0000"/>
          <w:sz w:val="20"/>
          <w:szCs w:val="20"/>
          <w:lang w:val="uz-Cyrl-UZ"/>
        </w:rPr>
        <w:t xml:space="preserve"> сум</w:t>
      </w:r>
      <w:r w:rsidRPr="009F6D10">
        <w:rPr>
          <w:rFonts w:ascii="Times New Roman" w:hAnsi="Times New Roman"/>
          <w:snapToGrid w:val="0"/>
          <w:sz w:val="20"/>
          <w:szCs w:val="20"/>
        </w:rPr>
        <w:t xml:space="preserve"> ташкил этади.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15. Буюртмачи томонидан Пудратчига аванс берилгандан сунг, кейинги тулов </w:t>
      </w:r>
      <w:proofErr w:type="gramStart"/>
      <w:r w:rsidRPr="009F6D10">
        <w:rPr>
          <w:rFonts w:ascii="Times New Roman" w:hAnsi="Times New Roman"/>
          <w:snapToGrid w:val="0"/>
          <w:sz w:val="20"/>
          <w:szCs w:val="20"/>
          <w:lang w:val="uz-Cyrl-UZ"/>
        </w:rPr>
        <w:t>“</w:t>
      </w:r>
      <w:r w:rsidRPr="009F6D10">
        <w:rPr>
          <w:rFonts w:ascii="Times New Roman" w:hAnsi="Times New Roman"/>
          <w:snapToGrid w:val="0"/>
          <w:sz w:val="20"/>
          <w:szCs w:val="20"/>
        </w:rPr>
        <w:t xml:space="preserve"> Бажарилган</w:t>
      </w:r>
      <w:proofErr w:type="gramEnd"/>
      <w:r w:rsidRPr="009F6D10">
        <w:rPr>
          <w:rFonts w:ascii="Times New Roman" w:hAnsi="Times New Roman"/>
          <w:snapToGrid w:val="0"/>
          <w:sz w:val="20"/>
          <w:szCs w:val="20"/>
        </w:rPr>
        <w:t xml:space="preserve"> ишлар</w:t>
      </w:r>
      <w:r w:rsidRPr="009F6D10">
        <w:rPr>
          <w:rFonts w:ascii="Times New Roman" w:hAnsi="Times New Roman"/>
          <w:snapToGrid w:val="0"/>
          <w:sz w:val="20"/>
          <w:szCs w:val="20"/>
          <w:lang w:val="uz-Cyrl-UZ"/>
        </w:rPr>
        <w:t>”</w:t>
      </w:r>
      <w:r w:rsidRPr="009F6D10">
        <w:rPr>
          <w:rFonts w:ascii="Times New Roman" w:hAnsi="Times New Roman"/>
          <w:snapToGrid w:val="0"/>
          <w:sz w:val="20"/>
          <w:szCs w:val="20"/>
        </w:rPr>
        <w:t xml:space="preserve"> далолатномасига   (форма-2) асосан амалга оширилади.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16. Пудратчи объект фойдаланишга топширилгунга қадар мазкур шартнома бўйича объектга мулк ҳуқуқини ўзида сақлаб қолади. Объект Буюртмачига топширилгунга қадар объектнинг тасодифий йўқ қилиниши ва шикастланиши хавфи Пудратчининг зиммасида бўлади.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17. Буюртмачи мазкур шартнома бўйича ўз зиммасига қабул қилган мажбуриятларни шартнома кучга кирган кундан бошлаб ўттиз кун мобайнида бажармаган тақдирда, Пудратчи бу ҳақда қонун ҳужжатларида белгиланган тартибда Буюртмачини ёзма равишда хабардор қилган ҳолда, шартномага ўзгартиришлар киритиш ёки шартномани бир томонлама тартибда бекор қилиш ҳуқуқига эгадир. Бунда Буюртмачи Пудратчи томонидан бажарилган ишлар учун ҳақ тўлашдан озод қилинмайди.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8</w:t>
      </w:r>
      <w:r w:rsidRPr="009F6D10">
        <w:rPr>
          <w:rFonts w:ascii="Times New Roman" w:hAnsi="Times New Roman"/>
          <w:b/>
          <w:snapToGrid w:val="0"/>
          <w:sz w:val="20"/>
          <w:szCs w:val="20"/>
        </w:rPr>
        <w:t>. ИШЛАРНИ БАЖАРИШ</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18. Пудратчи ишларни бажариш лойиҳасига асосан ишларни бажаришни мустақил равишда ташкил этади.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19. 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20. Қурилиш майдонида умумий тартибни таъминлаш Пудратчининг вазифаси ҳисобланади.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21. Буюртмачи қурилиш майдонини бериш тўғрисидаги далолатнома билан бир вақтда Пудратчига ортиқча тупроқ ва қурилиш ахлатини жойлаштириш ва етишмаётган тупроқни қазиб олиш учун жой ажратиш тўғрисидаги ҳужжатларни беради.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22. Пудратчи геодезия нуқталарига, линиялар ва даражаларга нисбатан объектнинг тўғри ва зарур тарзда белгиланиши, шунингдек баландлик белгилари, ўлчамлари ва бўлиш ўқларининг мувофиқлиги тўғри жойлашганлиги учун жавоб беради.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Агар ишларни бажариш жараёнида амалга оширилган бўлиш ва геодезия ишларида хатолар аниқланса, Пудратчи Буюртмачи билан келишган ҳолда тегишли тузатишларни ўз ҳисобидан киритади.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23. Пудратчи геодезия бўлиш ишларида ўрнатиладиган координатлар ва баландликлар, геодезия белгиларининг жойлашиши схемалари ва жадвалларини сақлайди, ишларни бажариш даврида ва улар тугаллангандан кейин уларни далолатнома бўйича Буюртмачига беради.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24. Қурилиш майдонида ишларни бажариш даврида коммуникацияларни вақтинча улашни ва улаш нуқталарида янгидан қурилган коммуникацияларни улашни Пудратчи амалга оширади.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25. Пудратчи ўзи томонидан қурилишда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26. Алоҳида масъулиятли конструкциялар ва беркитиладиган ишлар тайёр бўлишига қараб уларни қабул қилиш бошланишидан 2 кун олдин Пудратчи Буюртмачини ва "Давархитектқурилишназорат" инспекциясини ёзма равишда хабардор қилади.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lastRenderedPageBreak/>
        <w:t>27. 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28. Агар Буюртмачи Пудратчи ва (ёки) унинг субпудратчилари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Агар Пудратчи сифатсиз бажарилган ишларни келишилган муддатларда тузата олмаса, Пудратчи уларни тузатишнинг кечикиши оқибатида етказилган зарарларни Буюртмачига тўлайди.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29. Пудратчи қурилиш майдонини ва унга туташ кўча полосасини, шу жумладан йўл участкалари ва йўлакларни супуриб-сидиради ва озода сақлайди, қурилиш даврида майдондан қурилиш ахлатини Буюртмачи томонидан кўрсатилган жойга чиқариб ташлайди.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30.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ўтказилган синовлар, материаллар ўз вақтида етказиб берилмаслиги билан боғлиқ тўхтаб қолишлар, қурилиш техникасининг ишдан чиқиши тўғрисидаги маълумотлар, шунингдек қурилишни тугаллашнинг узил-кесил муддатига таъсир қилиши мумкин бўлган барча маълумотлар) акс эттирилади.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9</w:t>
      </w:r>
      <w:r w:rsidRPr="009F6D10">
        <w:rPr>
          <w:rFonts w:ascii="Times New Roman" w:hAnsi="Times New Roman"/>
          <w:b/>
          <w:snapToGrid w:val="0"/>
          <w:sz w:val="20"/>
          <w:szCs w:val="20"/>
        </w:rPr>
        <w:t>. ЕНГИБ БЎЛМАЙДИГАН КУЧ</w:t>
      </w:r>
      <w:r w:rsidRPr="009F6D10">
        <w:rPr>
          <w:rFonts w:ascii="Times New Roman" w:hAnsi="Times New Roman"/>
          <w:b/>
          <w:snapToGrid w:val="0"/>
          <w:sz w:val="20"/>
          <w:szCs w:val="20"/>
          <w:lang w:val="uz-Cyrl-UZ"/>
        </w:rPr>
        <w:t xml:space="preserve"> </w:t>
      </w:r>
      <w:r w:rsidRPr="009F6D10">
        <w:rPr>
          <w:rFonts w:ascii="Times New Roman" w:hAnsi="Times New Roman"/>
          <w:b/>
          <w:snapToGrid w:val="0"/>
          <w:sz w:val="20"/>
          <w:szCs w:val="20"/>
        </w:rPr>
        <w:t>(ФОРС-МАЖОР) ҲОЛАТЛАРИ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31. 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32. 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33. Агар томонлар икки ой ичида келиша олмасалар, у ҳолда томонларнинг ҳар бири шартнома бекор қилинишини талаб қилишга ҳақлидир.</w:t>
      </w:r>
    </w:p>
    <w:p w:rsidR="009F6D10" w:rsidRPr="009F6D1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10</w:t>
      </w:r>
      <w:r w:rsidRPr="009F6D10">
        <w:rPr>
          <w:rFonts w:ascii="Times New Roman" w:hAnsi="Times New Roman"/>
          <w:b/>
          <w:snapToGrid w:val="0"/>
          <w:sz w:val="20"/>
          <w:szCs w:val="20"/>
          <w:lang w:val="uz-Cyrl-UZ"/>
        </w:rPr>
        <w:t>. КАФОЛАТЛАР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34. Пудратчи: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барча ишлар тўлиқ ҳажмда ва мазкур шартнома шартларида белгиланган муддатларда бажарилишини;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лойиҳа ҳужжатларига ҳамда қурилиш меъёрлари, қоидалари ва техник шартларига мувофиқ барча ишларни бажариш мажбуриятини;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объектдан фойдаланилганда муҳандислик тизимлари ва ускуналарнинг фойдаланиш қоидаларига мувофиқлигини кафолатлайди.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Мавжуд нуқсонлар ва уларни бартараф этиш муддатлари Пудратчи ва Буюртмачининг икки томонлама далолатномасида қайд этилади.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35. Пудратчи нуқсонлар ва чала ишлар кўрсатилган далолатномани тузишдан ёки имзолашдан бош тортган тақдирда, уларни текшириб чиқиш "Давархитектқурилишназорат" органлари томонидан амалга оширилади, бу томонларнинг ушбу масала бўйича хўжалик судига мурожаат қилишини истисно этмайди.</w:t>
      </w:r>
    </w:p>
    <w:p w:rsidR="009F6D10" w:rsidRPr="00726480" w:rsidRDefault="009F6D10" w:rsidP="009F6D10">
      <w:pPr>
        <w:pStyle w:val="a5"/>
        <w:jc w:val="center"/>
        <w:rPr>
          <w:rFonts w:ascii="Times New Roman" w:hAnsi="Times New Roman"/>
          <w:b/>
          <w:snapToGrid w:val="0"/>
          <w:sz w:val="20"/>
          <w:szCs w:val="20"/>
          <w:lang w:val="uz-Cyrl-UZ"/>
        </w:rPr>
      </w:pPr>
      <w:r>
        <w:rPr>
          <w:rFonts w:ascii="Times New Roman" w:hAnsi="Times New Roman"/>
          <w:b/>
          <w:snapToGrid w:val="0"/>
          <w:sz w:val="20"/>
          <w:szCs w:val="20"/>
          <w:lang w:val="uz-Cyrl-UZ"/>
        </w:rPr>
        <w:t>11</w:t>
      </w:r>
      <w:r w:rsidRPr="00726480">
        <w:rPr>
          <w:rFonts w:ascii="Times New Roman" w:hAnsi="Times New Roman"/>
          <w:b/>
          <w:snapToGrid w:val="0"/>
          <w:sz w:val="20"/>
          <w:szCs w:val="20"/>
          <w:lang w:val="uz-Cyrl-UZ"/>
        </w:rPr>
        <w:t>. ШАРТНОМАНИ БЕКОР ҚИЛИШ</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 xml:space="preserve">36. Буюртмачи: </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шартнома кучга киргандан кейин қурилишнинг бошланиши Буюртмачига боғлиқ бўлмаган сабабларга кўра Пудратчи томонидан бир ойдан кўп вақтга кечиктирилганда;</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қонун ҳужжатларига мувофиқ бошқа асослар бўйича шартноманинг бекор қилинишини талаб қилиш ҳуқуқига эга.</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37. Пудратчи:</w:t>
      </w:r>
    </w:p>
    <w:p w:rsidR="009F6D10" w:rsidRPr="00726480" w:rsidRDefault="009F6D10" w:rsidP="009F6D10">
      <w:pPr>
        <w:pStyle w:val="a5"/>
        <w:jc w:val="both"/>
        <w:rPr>
          <w:rFonts w:ascii="Times New Roman" w:hAnsi="Times New Roman"/>
          <w:snapToGrid w:val="0"/>
          <w:sz w:val="20"/>
          <w:szCs w:val="20"/>
          <w:lang w:val="uz-Cyrl-UZ"/>
        </w:rPr>
      </w:pPr>
      <w:r w:rsidRPr="00726480">
        <w:rPr>
          <w:rFonts w:ascii="Times New Roman" w:hAnsi="Times New Roman"/>
          <w:snapToGrid w:val="0"/>
          <w:sz w:val="20"/>
          <w:szCs w:val="20"/>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Буюртмачи томонидан молиялаштириш шартлари бажарилмаганда;</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lastRenderedPageBreak/>
        <w:t>қонун ҳужжатларига мувофиқ бошқа асослар бўйича шартноманинг бекор қилинишини талаб қилиш ҳуқуқига эга.</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38. Шартнома бекор қилинганда Буюртмачи ва Пудратчининг қўшма қарорига кўра тугалланмаган қурилиш бир ой муддатда Буюртмачига берилади, Буюртмачи бажарилган ишлар қийматини Пудратчига тўлайди.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39. Мазкур шартномани бекор қилишга қарор қилган томон мазкур бўлим қоидасига мувофиқ иккинчи томонга ёзма билдиришнома юборади.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40. Шартнома бекор қилинган тақдирда айбдор томон иккинчи томонга етказилган зарарни, шу жумладан бой берилган фойдани тўлайди.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41.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12</w:t>
      </w:r>
      <w:r w:rsidRPr="009F6D10">
        <w:rPr>
          <w:rFonts w:ascii="Times New Roman" w:hAnsi="Times New Roman"/>
          <w:b/>
          <w:snapToGrid w:val="0"/>
          <w:sz w:val="20"/>
          <w:szCs w:val="20"/>
        </w:rPr>
        <w:t>. ТОМОНЛАРНИНГ</w:t>
      </w:r>
      <w:r w:rsidRPr="009F6D10">
        <w:rPr>
          <w:rFonts w:ascii="Times New Roman" w:hAnsi="Times New Roman"/>
          <w:b/>
          <w:snapToGrid w:val="0"/>
          <w:sz w:val="20"/>
          <w:szCs w:val="20"/>
          <w:lang w:val="uz-Cyrl-UZ"/>
        </w:rPr>
        <w:t xml:space="preserve"> </w:t>
      </w:r>
      <w:r w:rsidRPr="009F6D10">
        <w:rPr>
          <w:rFonts w:ascii="Times New Roman" w:hAnsi="Times New Roman"/>
          <w:b/>
          <w:snapToGrid w:val="0"/>
          <w:sz w:val="20"/>
          <w:szCs w:val="20"/>
        </w:rPr>
        <w:t>МУЛКИЙ ЖАВОБГАРЛИГИ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42. Томонлардан бири шартнома мажбуриятларини бажармаган ёки зарур даражада бажармаган тақдирда айбдор томон:</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иккинчи томонга етказилган зарарларни қоплайди;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43.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w:t>
      </w:r>
      <w:r w:rsidRPr="009F6D10">
        <w:rPr>
          <w:rFonts w:ascii="Times New Roman" w:hAnsi="Times New Roman"/>
          <w:snapToGrid w:val="0"/>
          <w:sz w:val="20"/>
          <w:szCs w:val="20"/>
          <w:lang w:val="uz-Cyrl-UZ"/>
        </w:rPr>
        <w:t xml:space="preserve">0.1 </w:t>
      </w:r>
      <w:r w:rsidRPr="009F6D10">
        <w:rPr>
          <w:rFonts w:ascii="Times New Roman" w:hAnsi="Times New Roman"/>
          <w:snapToGrid w:val="0"/>
          <w:sz w:val="20"/>
          <w:szCs w:val="20"/>
        </w:rPr>
        <w:t xml:space="preserve">фоизи миқдорида пеня тўлайди, бунда пенянинг умумий суммаси бажарилмаган ишлар ёки кўрсатилмаган хизматлар қийматининг </w:t>
      </w:r>
      <w:r w:rsidRPr="009F6D10">
        <w:rPr>
          <w:rFonts w:ascii="Times New Roman" w:hAnsi="Times New Roman"/>
          <w:snapToGrid w:val="0"/>
          <w:sz w:val="20"/>
          <w:szCs w:val="20"/>
          <w:lang w:val="uz-Cyrl-UZ"/>
        </w:rPr>
        <w:t xml:space="preserve">50 </w:t>
      </w:r>
      <w:r w:rsidRPr="009F6D10">
        <w:rPr>
          <w:rFonts w:ascii="Times New Roman" w:hAnsi="Times New Roman"/>
          <w:snapToGrid w:val="0"/>
          <w:sz w:val="20"/>
          <w:szCs w:val="20"/>
        </w:rPr>
        <w:t>фоизидан ошмаслиги лозим.</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Пеня тўланиши Буюртмачини шартнома шартлари бузилиши туфайли етказилган зарарни қоплашдан озод қилмайди.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44. 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w:t>
      </w:r>
      <w:r w:rsidRPr="009F6D10">
        <w:rPr>
          <w:rFonts w:ascii="Times New Roman" w:hAnsi="Times New Roman"/>
          <w:snapToGrid w:val="0"/>
          <w:sz w:val="20"/>
          <w:szCs w:val="20"/>
          <w:lang w:val="uz-Cyrl-UZ"/>
        </w:rPr>
        <w:t xml:space="preserve">0.1 </w:t>
      </w:r>
      <w:r w:rsidRPr="009F6D10">
        <w:rPr>
          <w:rFonts w:ascii="Times New Roman" w:hAnsi="Times New Roman"/>
          <w:snapToGrid w:val="0"/>
          <w:sz w:val="20"/>
          <w:szCs w:val="20"/>
        </w:rPr>
        <w:t>фоизи миқдорида жарима тўлайди.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45. 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w:t>
      </w:r>
      <w:r w:rsidRPr="009F6D10">
        <w:rPr>
          <w:rFonts w:ascii="Times New Roman" w:hAnsi="Times New Roman"/>
          <w:snapToGrid w:val="0"/>
          <w:sz w:val="20"/>
          <w:szCs w:val="20"/>
          <w:lang w:val="uz-Cyrl-UZ"/>
        </w:rPr>
        <w:t xml:space="preserve">0.1 </w:t>
      </w:r>
      <w:r w:rsidRPr="009F6D10">
        <w:rPr>
          <w:rFonts w:ascii="Times New Roman" w:hAnsi="Times New Roman"/>
          <w:snapToGrid w:val="0"/>
          <w:sz w:val="20"/>
          <w:szCs w:val="20"/>
        </w:rPr>
        <w:t xml:space="preserve">фоизи миқдорида пеня тўлайди, бироқ бунда пенянинг умумий суммаси объект шартномавий жорий қийматининг </w:t>
      </w:r>
      <w:r w:rsidRPr="009F6D10">
        <w:rPr>
          <w:rFonts w:ascii="Times New Roman" w:hAnsi="Times New Roman"/>
          <w:snapToGrid w:val="0"/>
          <w:sz w:val="20"/>
          <w:szCs w:val="20"/>
          <w:lang w:val="uz-Cyrl-UZ"/>
        </w:rPr>
        <w:t xml:space="preserve">50 </w:t>
      </w:r>
      <w:r w:rsidRPr="009F6D10">
        <w:rPr>
          <w:rFonts w:ascii="Times New Roman" w:hAnsi="Times New Roman"/>
          <w:snapToGrid w:val="0"/>
          <w:sz w:val="20"/>
          <w:szCs w:val="20"/>
        </w:rPr>
        <w:t>фоизидан ошмаслиги лозим.</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Буюртмачи томонидан топилга нуқсонлар ва качиликлар ўз вақтида бартараф этилмагани учун Пудратчи буюртмачига муддати ўтказиб юборилган ҳар бир кун учун сифатсиз бажарилган ишлар қийматининг </w:t>
      </w:r>
      <w:r w:rsidRPr="009F6D10">
        <w:rPr>
          <w:rFonts w:ascii="Times New Roman" w:hAnsi="Times New Roman"/>
          <w:snapToGrid w:val="0"/>
          <w:sz w:val="20"/>
          <w:szCs w:val="20"/>
          <w:lang w:val="uz-Cyrl-UZ"/>
        </w:rPr>
        <w:t>0.1</w:t>
      </w:r>
      <w:r w:rsidRPr="009F6D10">
        <w:rPr>
          <w:rFonts w:ascii="Times New Roman" w:hAnsi="Times New Roman"/>
          <w:snapToGrid w:val="0"/>
          <w:sz w:val="20"/>
          <w:szCs w:val="20"/>
        </w:rPr>
        <w:t xml:space="preserve"> фоизи миқдорида пеня тўлайди, бунда пенянинг умумий суммаси сифатсиз бажарилган ишлар қийматининг </w:t>
      </w:r>
      <w:r w:rsidRPr="009F6D10">
        <w:rPr>
          <w:rFonts w:ascii="Times New Roman" w:hAnsi="Times New Roman"/>
          <w:snapToGrid w:val="0"/>
          <w:sz w:val="20"/>
          <w:szCs w:val="20"/>
          <w:lang w:val="uz-Cyrl-UZ"/>
        </w:rPr>
        <w:t>50</w:t>
      </w:r>
      <w:r w:rsidRPr="009F6D10">
        <w:rPr>
          <w:rFonts w:ascii="Times New Roman" w:hAnsi="Times New Roman"/>
          <w:snapToGrid w:val="0"/>
          <w:sz w:val="20"/>
          <w:szCs w:val="20"/>
        </w:rPr>
        <w:t xml:space="preserve"> фоизидан ошмаслиги керак.</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Пеня тўлаш Пудратчини ишларни бажаришнинг ёки хизматлар кўрсатишнинг кечикиши туфайли етказилган зарарларни қоплашдан озод қилмайди.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 xml:space="preserve">46. Агар бажарилган ишлар сифати белгиланган стандартларга, қурилиш меъёрлари ва қоидаларига, иш ҳужжатларига мувофиқ бўлмаса, у ҳолда Буюртмачи "Давархитектқурилишназорат" инспекциясининг хулосаси асосида объектни қабул қилиш ва унинг учун ҳақ тўлашдан бош тортиши, шунингдек Пудратчидан сифати зарур даражада бўлмаган ишлар қийматининг </w:t>
      </w:r>
      <w:r w:rsidRPr="009F6D10">
        <w:rPr>
          <w:rFonts w:ascii="Times New Roman" w:hAnsi="Times New Roman"/>
          <w:snapToGrid w:val="0"/>
          <w:sz w:val="20"/>
          <w:szCs w:val="20"/>
          <w:lang w:val="uz-Cyrl-UZ"/>
        </w:rPr>
        <w:t xml:space="preserve">0.1 </w:t>
      </w:r>
      <w:r w:rsidRPr="009F6D10">
        <w:rPr>
          <w:rFonts w:ascii="Times New Roman" w:hAnsi="Times New Roman"/>
          <w:snapToGrid w:val="0"/>
          <w:sz w:val="20"/>
          <w:szCs w:val="20"/>
        </w:rPr>
        <w:t xml:space="preserve">фоизи миқдорида жарима ундириш ҳуқуқига эга. </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47. Шартнома бўйича мажбуриятлар бажарилмаганлиги учун мазкур моддада назарда тутилган жазолардан ташқари шартномани бузган томон иккинчи томонга бошқа томон тарафидан қилинган харажатларда, мол-мулкнинг йўқотилиши ёки шикастланишида, шу жумладан бой берилган фойдада ифодаланадиган пеня билан қопланмаган зарарларни қоплайди.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48.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9F6D10" w:rsidRPr="009F6D10" w:rsidRDefault="009F6D10" w:rsidP="009F6D10">
      <w:pPr>
        <w:pStyle w:val="a5"/>
        <w:jc w:val="center"/>
        <w:rPr>
          <w:rFonts w:ascii="Times New Roman" w:hAnsi="Times New Roman"/>
          <w:b/>
          <w:snapToGrid w:val="0"/>
          <w:sz w:val="20"/>
          <w:szCs w:val="20"/>
        </w:rPr>
      </w:pPr>
      <w:r>
        <w:rPr>
          <w:rFonts w:ascii="Times New Roman" w:hAnsi="Times New Roman"/>
          <w:b/>
          <w:snapToGrid w:val="0"/>
          <w:sz w:val="20"/>
          <w:szCs w:val="20"/>
          <w:lang w:val="uz-Cyrl-UZ"/>
        </w:rPr>
        <w:t>13</w:t>
      </w:r>
      <w:r w:rsidRPr="009F6D10">
        <w:rPr>
          <w:rFonts w:ascii="Times New Roman" w:hAnsi="Times New Roman"/>
          <w:b/>
          <w:snapToGrid w:val="0"/>
          <w:sz w:val="20"/>
          <w:szCs w:val="20"/>
        </w:rPr>
        <w:t xml:space="preserve">. НИЗОЛАРНИ </w:t>
      </w:r>
      <w:r w:rsidRPr="009F6D10">
        <w:rPr>
          <w:rFonts w:ascii="Times New Roman" w:hAnsi="Times New Roman"/>
          <w:b/>
          <w:snapToGrid w:val="0"/>
          <w:sz w:val="20"/>
          <w:szCs w:val="20"/>
          <w:lang w:val="uz-Cyrl-UZ"/>
        </w:rPr>
        <w:t>Ҳ</w:t>
      </w:r>
      <w:r w:rsidRPr="009F6D10">
        <w:rPr>
          <w:rFonts w:ascii="Times New Roman" w:hAnsi="Times New Roman"/>
          <w:b/>
          <w:snapToGrid w:val="0"/>
          <w:sz w:val="20"/>
          <w:szCs w:val="20"/>
        </w:rPr>
        <w:t>АЛ ЭТИШ ТАРТИБИ</w:t>
      </w:r>
    </w:p>
    <w:p w:rsidR="009F6D10" w:rsidRPr="009F6D10" w:rsidRDefault="009F6D10" w:rsidP="009F6D10">
      <w:pPr>
        <w:pStyle w:val="a5"/>
        <w:jc w:val="both"/>
        <w:rPr>
          <w:rFonts w:ascii="Times New Roman" w:hAnsi="Times New Roman"/>
          <w:snapToGrid w:val="0"/>
          <w:sz w:val="20"/>
          <w:szCs w:val="20"/>
        </w:rPr>
      </w:pPr>
      <w:r w:rsidRPr="009F6D10">
        <w:rPr>
          <w:rFonts w:ascii="Times New Roman" w:hAnsi="Times New Roman"/>
          <w:snapToGrid w:val="0"/>
          <w:sz w:val="20"/>
          <w:szCs w:val="20"/>
        </w:rPr>
        <w:t>49. Шартномани бажаришда ва бекор қилишда шунингдек етказилган зарарларни қоплашда пайдо бўладиган низоли масалаларни томонлар ҳал этолмаса улар қонун ҳужжатларида белгиланган тартибда хўжалик суди томонидан кўриб чиқилади.</w:t>
      </w:r>
    </w:p>
    <w:p w:rsidR="009F6D10" w:rsidRPr="009F6D10" w:rsidRDefault="009F6D10" w:rsidP="009F6D10">
      <w:pPr>
        <w:pStyle w:val="a5"/>
        <w:jc w:val="center"/>
        <w:rPr>
          <w:rFonts w:ascii="Times New Roman" w:hAnsi="Times New Roman"/>
          <w:b/>
          <w:sz w:val="18"/>
          <w:szCs w:val="18"/>
          <w:lang w:val="uz-Cyrl-UZ"/>
        </w:rPr>
      </w:pPr>
      <w:r>
        <w:rPr>
          <w:rFonts w:ascii="Times New Roman" w:hAnsi="Times New Roman"/>
          <w:b/>
          <w:sz w:val="18"/>
          <w:szCs w:val="18"/>
          <w:lang w:val="uz-Cyrl-UZ"/>
        </w:rPr>
        <w:t>14</w:t>
      </w:r>
      <w:r w:rsidRPr="009F6D10">
        <w:rPr>
          <w:rFonts w:ascii="Times New Roman" w:hAnsi="Times New Roman"/>
          <w:b/>
          <w:sz w:val="18"/>
          <w:szCs w:val="18"/>
          <w:lang w:val="uz-Cyrl-UZ"/>
        </w:rPr>
        <w:t>. КОРРУПСИЯГА ҚАРШИ КУРАШ МОДДАСИ</w:t>
      </w:r>
    </w:p>
    <w:p w:rsidR="009F6D10" w:rsidRPr="009F6D10" w:rsidRDefault="009F6D10" w:rsidP="009F6D10">
      <w:pPr>
        <w:pStyle w:val="a5"/>
        <w:jc w:val="both"/>
        <w:rPr>
          <w:rFonts w:ascii="Times New Roman" w:hAnsi="Times New Roman"/>
          <w:sz w:val="18"/>
          <w:szCs w:val="18"/>
          <w:lang w:val="uz-Cyrl-UZ"/>
        </w:rPr>
      </w:pPr>
      <w:r>
        <w:rPr>
          <w:rFonts w:ascii="Times New Roman" w:hAnsi="Times New Roman"/>
          <w:sz w:val="18"/>
          <w:szCs w:val="18"/>
          <w:lang w:val="uz-Cyrl-UZ"/>
        </w:rPr>
        <w:t>50</w:t>
      </w:r>
      <w:r w:rsidRPr="009F6D10">
        <w:rPr>
          <w:rFonts w:ascii="Times New Roman" w:hAnsi="Times New Roman"/>
          <w:sz w:val="18"/>
          <w:szCs w:val="18"/>
          <w:lang w:val="uz-Cyrl-UZ"/>
        </w:rPr>
        <w:t>. Томонлар буни еълон қиладилар:</w:t>
      </w:r>
    </w:p>
    <w:p w:rsidR="009F6D10" w:rsidRDefault="009F6D10" w:rsidP="009F6D10">
      <w:pPr>
        <w:pStyle w:val="a5"/>
        <w:jc w:val="both"/>
        <w:rPr>
          <w:rFonts w:ascii="Times New Roman" w:hAnsi="Times New Roman"/>
          <w:sz w:val="18"/>
          <w:szCs w:val="18"/>
          <w:lang w:val="uz-Cyrl-UZ"/>
        </w:rPr>
      </w:pPr>
      <w:r w:rsidRPr="009F6D10">
        <w:rPr>
          <w:rFonts w:ascii="Times New Roman" w:hAnsi="Times New Roman"/>
          <w:sz w:val="18"/>
          <w:szCs w:val="18"/>
          <w:lang w:val="uz-Cyrl-UZ"/>
        </w:rPr>
        <w:t>- Томонлар, уларнинг аффилланган (ўзаро боғлиқ) шахслари ва ходимлари, уларни бажариш чоғида</w:t>
      </w:r>
      <w:r>
        <w:rPr>
          <w:rFonts w:ascii="Times New Roman" w:hAnsi="Times New Roman"/>
          <w:sz w:val="18"/>
          <w:szCs w:val="18"/>
          <w:lang w:val="uz-Cyrl-UZ"/>
        </w:rPr>
        <w:t xml:space="preserve"> </w:t>
      </w:r>
      <w:r w:rsidRPr="009F6D10">
        <w:rPr>
          <w:rFonts w:ascii="Times New Roman" w:hAnsi="Times New Roman"/>
          <w:sz w:val="18"/>
          <w:szCs w:val="18"/>
          <w:lang w:val="uz-Cyrl-UZ"/>
        </w:rPr>
        <w:t>ушбу шартнома бўйича мажбуриятлар, бузилишига олиб келадиган ҳаракатлар/камчиликларни содир етмайди</w:t>
      </w:r>
      <w:r>
        <w:rPr>
          <w:rFonts w:ascii="Times New Roman" w:hAnsi="Times New Roman"/>
          <w:sz w:val="18"/>
          <w:szCs w:val="18"/>
          <w:lang w:val="uz-Cyrl-UZ"/>
        </w:rPr>
        <w:t xml:space="preserve"> </w:t>
      </w:r>
      <w:r w:rsidRPr="009F6D10">
        <w:rPr>
          <w:rFonts w:ascii="Times New Roman" w:hAnsi="Times New Roman"/>
          <w:sz w:val="18"/>
          <w:szCs w:val="18"/>
          <w:lang w:val="uz-Cyrl-UZ"/>
        </w:rPr>
        <w:t>коррупсияга қарши курашиш соҳасидаги Ўзбекистон Республикасининг амалдаги қонун ҳужжатлари талабларидан</w:t>
      </w:r>
      <w:r>
        <w:rPr>
          <w:rFonts w:ascii="Times New Roman" w:hAnsi="Times New Roman"/>
          <w:sz w:val="18"/>
          <w:szCs w:val="18"/>
          <w:lang w:val="uz-Cyrl-UZ"/>
        </w:rPr>
        <w:t xml:space="preserve"> </w:t>
      </w:r>
      <w:r w:rsidRPr="009F6D10">
        <w:rPr>
          <w:rFonts w:ascii="Times New Roman" w:hAnsi="Times New Roman"/>
          <w:sz w:val="18"/>
          <w:szCs w:val="18"/>
          <w:lang w:val="uz-Cyrl-UZ"/>
        </w:rPr>
        <w:t>ва / ёки бузуқ табиатга ега, шу жумладан пора бериш ёки ваъда қилиш, пора бериш (лекин чекланмаган),</w:t>
      </w:r>
      <w:r>
        <w:rPr>
          <w:rFonts w:ascii="Times New Roman" w:hAnsi="Times New Roman"/>
          <w:sz w:val="18"/>
          <w:szCs w:val="18"/>
          <w:lang w:val="uz-Cyrl-UZ"/>
        </w:rPr>
        <w:t xml:space="preserve"> </w:t>
      </w:r>
      <w:r w:rsidRPr="009F6D10">
        <w:rPr>
          <w:rFonts w:ascii="Times New Roman" w:hAnsi="Times New Roman"/>
          <w:sz w:val="18"/>
          <w:szCs w:val="18"/>
          <w:lang w:val="uz-Cyrl-UZ"/>
        </w:rPr>
        <w:t>пора олиш учун товламачилик, тўғридан-тўғри ёки билвосита розилик.</w:t>
      </w:r>
    </w:p>
    <w:p w:rsidR="009F6D10" w:rsidRPr="009F6D10" w:rsidRDefault="009F6D10" w:rsidP="009F6D10">
      <w:pPr>
        <w:pStyle w:val="a5"/>
        <w:jc w:val="both"/>
        <w:rPr>
          <w:rFonts w:ascii="Times New Roman" w:hAnsi="Times New Roman"/>
          <w:sz w:val="18"/>
          <w:szCs w:val="18"/>
          <w:lang w:val="uz-Cyrl-UZ"/>
        </w:rPr>
      </w:pPr>
      <w:r w:rsidRPr="009F6D10">
        <w:rPr>
          <w:rFonts w:ascii="Times New Roman" w:hAnsi="Times New Roman"/>
          <w:sz w:val="18"/>
          <w:szCs w:val="18"/>
          <w:lang w:val="uz-Cyrl-UZ"/>
        </w:rPr>
        <w:t>- Томонлар, уларнинг аффилланган (алоқадор) шахслари ва ходимлари рағбатлантиришдан бош тортадилар</w:t>
      </w:r>
      <w:r>
        <w:rPr>
          <w:rFonts w:ascii="Times New Roman" w:hAnsi="Times New Roman"/>
          <w:sz w:val="18"/>
          <w:szCs w:val="18"/>
          <w:lang w:val="uz-Cyrl-UZ"/>
        </w:rPr>
        <w:t xml:space="preserve"> </w:t>
      </w:r>
      <w:r w:rsidRPr="009F6D10">
        <w:rPr>
          <w:rFonts w:ascii="Times New Roman" w:hAnsi="Times New Roman"/>
          <w:sz w:val="18"/>
          <w:szCs w:val="18"/>
          <w:lang w:val="uz-Cyrl-UZ"/>
        </w:rPr>
        <w:t>ходимлар ёки бирон-бир тарзда бошқа партия ваколатли вакиллари, шу жумладан</w:t>
      </w:r>
      <w:r>
        <w:rPr>
          <w:rFonts w:ascii="Times New Roman" w:hAnsi="Times New Roman"/>
          <w:sz w:val="18"/>
          <w:szCs w:val="18"/>
          <w:lang w:val="uz-Cyrl-UZ"/>
        </w:rPr>
        <w:t xml:space="preserve"> </w:t>
      </w:r>
      <w:r w:rsidRPr="009F6D10">
        <w:rPr>
          <w:rFonts w:ascii="Times New Roman" w:hAnsi="Times New Roman"/>
          <w:sz w:val="18"/>
          <w:szCs w:val="18"/>
          <w:lang w:val="uz-Cyrl-UZ"/>
        </w:rPr>
        <w:t>пул суммалари, совғалар билан таъминлаш, уларга беғараз хизматлар кўрсатиш ёки ишларни бажариш</w:t>
      </w:r>
      <w:r>
        <w:rPr>
          <w:rFonts w:ascii="Times New Roman" w:hAnsi="Times New Roman"/>
          <w:sz w:val="18"/>
          <w:szCs w:val="18"/>
          <w:lang w:val="uz-Cyrl-UZ"/>
        </w:rPr>
        <w:t xml:space="preserve"> </w:t>
      </w:r>
      <w:r w:rsidRPr="009F6D10">
        <w:rPr>
          <w:rFonts w:ascii="Times New Roman" w:hAnsi="Times New Roman"/>
          <w:sz w:val="18"/>
          <w:szCs w:val="18"/>
          <w:lang w:val="uz-Cyrl-UZ"/>
        </w:rPr>
        <w:t>ушбу ходим ёки ваколатли вакилнинг рағбатлантирувчи томони манфаати учун ҳар қандай ҳаракат/камчиликларни амалга оширишини таъминлашга қаратилган.</w:t>
      </w:r>
    </w:p>
    <w:p w:rsidR="009F6D10" w:rsidRPr="009F6D10" w:rsidRDefault="009F6D10" w:rsidP="009F6D10">
      <w:pPr>
        <w:pStyle w:val="a5"/>
        <w:jc w:val="both"/>
        <w:rPr>
          <w:rFonts w:ascii="Times New Roman" w:hAnsi="Times New Roman"/>
          <w:snapToGrid w:val="0"/>
          <w:sz w:val="20"/>
          <w:szCs w:val="20"/>
          <w:lang w:val="uz-Cyrl-UZ"/>
        </w:rPr>
      </w:pPr>
      <w:r>
        <w:rPr>
          <w:rFonts w:ascii="Times New Roman" w:hAnsi="Times New Roman"/>
          <w:sz w:val="18"/>
          <w:szCs w:val="18"/>
          <w:lang w:val="uz-Cyrl-UZ"/>
        </w:rPr>
        <w:t>51</w:t>
      </w:r>
      <w:r w:rsidRPr="009F6D10">
        <w:rPr>
          <w:rFonts w:ascii="Times New Roman" w:hAnsi="Times New Roman"/>
          <w:sz w:val="18"/>
          <w:szCs w:val="18"/>
          <w:lang w:val="uz-Cyrl-UZ"/>
        </w:rPr>
        <w:t>. Бир партия бузилиши деб гумон бўлса</w:t>
      </w:r>
      <w:r>
        <w:rPr>
          <w:rFonts w:ascii="Times New Roman" w:hAnsi="Times New Roman"/>
          <w:sz w:val="18"/>
          <w:szCs w:val="18"/>
          <w:lang w:val="uz-Cyrl-UZ"/>
        </w:rPr>
        <w:t xml:space="preserve"> 50</w:t>
      </w:r>
      <w:r w:rsidRPr="009F6D10">
        <w:rPr>
          <w:rFonts w:ascii="Times New Roman" w:hAnsi="Times New Roman"/>
          <w:sz w:val="18"/>
          <w:szCs w:val="18"/>
          <w:lang w:val="uz-Cyrl-UZ"/>
        </w:rPr>
        <w:t>-банднинг қоидалари. бу шартнома содир бўлди ёки содир бўлиши мумкин, тегишли партия бу ҳақида иккинчи партия хабардор қилиш мажбуриятини олади</w:t>
      </w:r>
      <w:r>
        <w:rPr>
          <w:rFonts w:ascii="Times New Roman" w:hAnsi="Times New Roman"/>
          <w:sz w:val="18"/>
          <w:szCs w:val="18"/>
          <w:lang w:val="uz-Cyrl-UZ"/>
        </w:rPr>
        <w:t xml:space="preserve"> </w:t>
      </w:r>
      <w:r w:rsidRPr="009F6D10">
        <w:rPr>
          <w:rFonts w:ascii="Times New Roman" w:hAnsi="Times New Roman"/>
          <w:sz w:val="18"/>
          <w:szCs w:val="18"/>
          <w:lang w:val="uz-Cyrl-UZ"/>
        </w:rPr>
        <w:t>Партия, ва қонун бузилиши рад етиб бўлмайдиган далиллар тақдирда</w:t>
      </w:r>
      <w:r>
        <w:rPr>
          <w:rFonts w:ascii="Times New Roman" w:hAnsi="Times New Roman"/>
          <w:sz w:val="18"/>
          <w:szCs w:val="18"/>
          <w:lang w:val="uz-Cyrl-UZ"/>
        </w:rPr>
        <w:t xml:space="preserve"> </w:t>
      </w:r>
      <w:r w:rsidRPr="009F6D10">
        <w:rPr>
          <w:rFonts w:ascii="Times New Roman" w:hAnsi="Times New Roman"/>
          <w:sz w:val="18"/>
          <w:szCs w:val="18"/>
          <w:lang w:val="uz-Cyrl-UZ"/>
        </w:rPr>
        <w:t>Ўзбекистон Республикаси коррупсияга қарши курашиш соҳасида-шунингдек, тартибда ваколатли органлар</w:t>
      </w:r>
      <w:r>
        <w:rPr>
          <w:rFonts w:ascii="Times New Roman" w:hAnsi="Times New Roman"/>
          <w:sz w:val="18"/>
          <w:szCs w:val="18"/>
          <w:lang w:val="uz-Cyrl-UZ"/>
        </w:rPr>
        <w:t xml:space="preserve"> </w:t>
      </w:r>
      <w:r w:rsidRPr="009F6D10">
        <w:rPr>
          <w:rFonts w:ascii="Times New Roman" w:hAnsi="Times New Roman"/>
          <w:sz w:val="18"/>
          <w:szCs w:val="18"/>
          <w:lang w:val="uz-Cyrl-UZ"/>
        </w:rPr>
        <w:t>амалдаги қонунчиликда белгиланган.</w:t>
      </w:r>
    </w:p>
    <w:p w:rsidR="009F6D10" w:rsidRPr="009F6D10" w:rsidRDefault="009F6D10" w:rsidP="009F6D10">
      <w:pPr>
        <w:pStyle w:val="a5"/>
        <w:jc w:val="center"/>
        <w:rPr>
          <w:rFonts w:ascii="Times New Roman" w:hAnsi="Times New Roman"/>
          <w:snapToGrid w:val="0"/>
          <w:sz w:val="20"/>
          <w:szCs w:val="20"/>
          <w:lang w:val="uz-Cyrl-UZ"/>
        </w:rPr>
      </w:pPr>
      <w:r>
        <w:rPr>
          <w:rFonts w:ascii="Times New Roman" w:hAnsi="Times New Roman"/>
          <w:snapToGrid w:val="0"/>
          <w:sz w:val="20"/>
          <w:szCs w:val="20"/>
          <w:lang w:val="uz-Cyrl-UZ"/>
        </w:rPr>
        <w:lastRenderedPageBreak/>
        <w:t>15</w:t>
      </w:r>
      <w:r w:rsidRPr="009F6D10">
        <w:rPr>
          <w:rFonts w:ascii="Times New Roman" w:hAnsi="Times New Roman"/>
          <w:snapToGrid w:val="0"/>
          <w:sz w:val="20"/>
          <w:szCs w:val="20"/>
          <w:lang w:val="uz-Cyrl-UZ"/>
        </w:rPr>
        <w:t>. АЛОҲИДА ШАРТЛАР</w:t>
      </w:r>
    </w:p>
    <w:p w:rsidR="009F6D10" w:rsidRPr="009F6D10" w:rsidRDefault="009F6D10" w:rsidP="009F6D10">
      <w:pPr>
        <w:pStyle w:val="a5"/>
        <w:jc w:val="both"/>
        <w:rPr>
          <w:rFonts w:ascii="Times New Roman" w:hAnsi="Times New Roman"/>
          <w:snapToGrid w:val="0"/>
          <w:sz w:val="20"/>
          <w:szCs w:val="20"/>
          <w:lang w:val="uz-Cyrl-UZ"/>
        </w:rPr>
      </w:pPr>
      <w:r>
        <w:rPr>
          <w:rFonts w:ascii="Times New Roman" w:hAnsi="Times New Roman"/>
          <w:snapToGrid w:val="0"/>
          <w:sz w:val="20"/>
          <w:szCs w:val="20"/>
          <w:lang w:val="uz-Cyrl-UZ"/>
        </w:rPr>
        <w:t>52</w:t>
      </w:r>
      <w:r w:rsidRPr="009F6D10">
        <w:rPr>
          <w:rFonts w:ascii="Times New Roman" w:hAnsi="Times New Roman"/>
          <w:snapToGrid w:val="0"/>
          <w:sz w:val="20"/>
          <w:szCs w:val="20"/>
          <w:lang w:val="uz-Cyrl-UZ"/>
        </w:rPr>
        <w:t>. Мазкур шартнома имзолангандан кейин, мазкур шартномага тегишли бўлган томонлар ўртасидаги барча олдинги ёзма ва оғзаки битимлар, ёзишмалар, томонларнинг ўзаро келишувлари ўз кучини йўқотади.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3</w:t>
      </w:r>
      <w:r w:rsidRPr="009F6D10">
        <w:rPr>
          <w:rFonts w:ascii="Times New Roman" w:hAnsi="Times New Roman"/>
          <w:snapToGrid w:val="0"/>
          <w:sz w:val="20"/>
          <w:szCs w:val="20"/>
          <w:lang w:val="uz-Cyrl-UZ"/>
        </w:rPr>
        <w:t>. Пудратчи қурилиш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4</w:t>
      </w:r>
      <w:r w:rsidRPr="009F6D10">
        <w:rPr>
          <w:rFonts w:ascii="Times New Roman" w:hAnsi="Times New Roman"/>
          <w:snapToGrid w:val="0"/>
          <w:sz w:val="20"/>
          <w:szCs w:val="20"/>
          <w:lang w:val="uz-Cyrl-UZ"/>
        </w:rPr>
        <w:t>. Мазкур шартномага барча ўзгартириш ва қўшимчалар, агар улар амалдаги конунларга</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асосланган   равишда  расмийлаштирилган ва томонлар уларни имзолашган бўлса, ҳақиқий ҳисобланади.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5</w:t>
      </w:r>
      <w:r w:rsidRPr="009F6D10">
        <w:rPr>
          <w:rFonts w:ascii="Times New Roman" w:hAnsi="Times New Roman"/>
          <w:snapToGrid w:val="0"/>
          <w:sz w:val="20"/>
          <w:szCs w:val="20"/>
          <w:lang w:val="uz-Cyrl-UZ"/>
        </w:rPr>
        <w:t>. Буюртмачи билан Пудратчи ўртасидаги мазкур шартномадан келиб чиқмайдиган янги мажбуриятлар пайдо бўлишига олиб келадиган ҳар қандай аҳдлашувни асосланган холда расмийлаштирилиши ва амалдаги конунларга асосланиб тасдиқлаши керак.</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6</w:t>
      </w:r>
      <w:r w:rsidRPr="009F6D10">
        <w:rPr>
          <w:rFonts w:ascii="Times New Roman" w:hAnsi="Times New Roman"/>
          <w:snapToGrid w:val="0"/>
          <w:sz w:val="20"/>
          <w:szCs w:val="20"/>
          <w:lang w:val="uz-Cyrl-UZ"/>
        </w:rPr>
        <w:t>. Агар Пудратчи шартнома бўйича ишлар якунлангандан кейин қурилиш майдонида ўзига тегишли мол-мулкни қолдирса, у ҳолда Буюртмачи Пудратчи қурилиш майдонини озод қилиш санасигача бажарилган ишлар учун унга ҳақ тўлашни кечиктиришга ҳақлидир.</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7</w:t>
      </w:r>
      <w:r w:rsidRPr="009F6D10">
        <w:rPr>
          <w:rFonts w:ascii="Times New Roman" w:hAnsi="Times New Roman"/>
          <w:snapToGrid w:val="0"/>
          <w:sz w:val="20"/>
          <w:szCs w:val="20"/>
          <w:lang w:val="uz-Cyrl-UZ"/>
        </w:rPr>
        <w:t xml:space="preserve">. Мазкур шартномада назарда тутилмаган бошқа барча ҳоллар учун амалдаги қонун ҳужжатлари нормалари қўлланилади. </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8</w:t>
      </w:r>
      <w:r w:rsidRPr="009F6D10">
        <w:rPr>
          <w:rFonts w:ascii="Times New Roman" w:hAnsi="Times New Roman"/>
          <w:snapToGrid w:val="0"/>
          <w:sz w:val="20"/>
          <w:szCs w:val="20"/>
          <w:lang w:val="uz-Cyrl-UZ"/>
        </w:rPr>
        <w:t>. Мазкур шартнома бир хил юридик кучга эга бўлган 3 нусхада тузилди.</w:t>
      </w:r>
    </w:p>
    <w:p w:rsidR="009F6D10" w:rsidRPr="009F6D10" w:rsidRDefault="009F6D10" w:rsidP="009F6D10">
      <w:pPr>
        <w:pStyle w:val="a5"/>
        <w:jc w:val="both"/>
        <w:rPr>
          <w:rFonts w:ascii="Times New Roman" w:hAnsi="Times New Roman"/>
          <w:snapToGrid w:val="0"/>
          <w:sz w:val="20"/>
          <w:szCs w:val="20"/>
          <w:lang w:val="uz-Cyrl-UZ"/>
        </w:rPr>
      </w:pPr>
      <w:r w:rsidRPr="009F6D10">
        <w:rPr>
          <w:rFonts w:ascii="Times New Roman" w:hAnsi="Times New Roman"/>
          <w:snapToGrid w:val="0"/>
          <w:sz w:val="20"/>
          <w:szCs w:val="20"/>
          <w:lang w:val="uz-Cyrl-UZ"/>
        </w:rPr>
        <w:t>5</w:t>
      </w:r>
      <w:r>
        <w:rPr>
          <w:rFonts w:ascii="Times New Roman" w:hAnsi="Times New Roman"/>
          <w:snapToGrid w:val="0"/>
          <w:sz w:val="20"/>
          <w:szCs w:val="20"/>
          <w:lang w:val="uz-Cyrl-UZ"/>
        </w:rPr>
        <w:t>9</w:t>
      </w:r>
      <w:r w:rsidRPr="009F6D10">
        <w:rPr>
          <w:rFonts w:ascii="Times New Roman" w:hAnsi="Times New Roman"/>
          <w:snapToGrid w:val="0"/>
          <w:sz w:val="20"/>
          <w:szCs w:val="20"/>
          <w:lang w:val="uz-Cyrl-UZ"/>
        </w:rPr>
        <w:t>. Шартнома имзоланиб Ғазначилик бўлимидан рўйхатдан ўтгандан сунг конуний кучга киради ва амал килиш муддати 31 декабрь 202</w:t>
      </w:r>
      <w:r>
        <w:rPr>
          <w:rFonts w:ascii="Times New Roman" w:hAnsi="Times New Roman"/>
          <w:snapToGrid w:val="0"/>
          <w:sz w:val="20"/>
          <w:szCs w:val="20"/>
          <w:lang w:val="uz-Cyrl-UZ"/>
        </w:rPr>
        <w:t>2</w:t>
      </w:r>
      <w:r w:rsidRPr="009F6D10">
        <w:rPr>
          <w:rFonts w:ascii="Times New Roman" w:hAnsi="Times New Roman"/>
          <w:snapToGrid w:val="0"/>
          <w:sz w:val="20"/>
          <w:szCs w:val="20"/>
          <w:lang w:val="uz-Cyrl-UZ"/>
        </w:rPr>
        <w:t xml:space="preserve"> йилгача хисобланади.</w:t>
      </w:r>
    </w:p>
    <w:p w:rsidR="001D69FF" w:rsidRDefault="001D69FF" w:rsidP="009F6D10">
      <w:pPr>
        <w:pStyle w:val="a5"/>
        <w:jc w:val="both"/>
        <w:rPr>
          <w:rFonts w:ascii="Times New Roman" w:hAnsi="Times New Roman"/>
          <w:snapToGrid w:val="0"/>
          <w:lang w:val="uz-Cyrl-UZ"/>
        </w:rPr>
      </w:pPr>
    </w:p>
    <w:p w:rsidR="009F6D10" w:rsidRPr="009F6D10" w:rsidRDefault="001D69FF" w:rsidP="009F6D10">
      <w:pPr>
        <w:pStyle w:val="a5"/>
        <w:jc w:val="both"/>
        <w:rPr>
          <w:rFonts w:ascii="Times New Roman" w:hAnsi="Times New Roman"/>
          <w:snapToGrid w:val="0"/>
        </w:rPr>
      </w:pPr>
      <w:r>
        <w:rPr>
          <w:rFonts w:ascii="Times New Roman" w:hAnsi="Times New Roman"/>
          <w:snapToGrid w:val="0"/>
          <w:lang w:val="uz-Cyrl-UZ"/>
        </w:rPr>
        <w:t>16.</w:t>
      </w:r>
      <w:r w:rsidR="009F6D10" w:rsidRPr="009F6D10">
        <w:rPr>
          <w:rFonts w:ascii="Times New Roman" w:hAnsi="Times New Roman"/>
          <w:snapToGrid w:val="0"/>
        </w:rPr>
        <w:t xml:space="preserve"> ТОМОНЛАРНИНГ БАНК РЕКВИЗИТЛАРИ</w:t>
      </w:r>
      <w:r w:rsidR="009F6D10" w:rsidRPr="009F6D10">
        <w:rPr>
          <w:rFonts w:ascii="Times New Roman" w:hAnsi="Times New Roman"/>
          <w:snapToGrid w:val="0"/>
          <w:lang w:val="uz-Cyrl-UZ"/>
        </w:rPr>
        <w:t xml:space="preserve"> </w:t>
      </w:r>
      <w:r w:rsidR="009F6D10" w:rsidRPr="009F6D10">
        <w:rPr>
          <w:rFonts w:ascii="Times New Roman" w:hAnsi="Times New Roman"/>
          <w:snapToGrid w:val="0"/>
        </w:rPr>
        <w:t>ВА ЮРИДИК МАНЗИЛЛАРИ:</w:t>
      </w:r>
    </w:p>
    <w:tbl>
      <w:tblPr>
        <w:tblW w:w="10195" w:type="dxa"/>
        <w:jc w:val="center"/>
        <w:tblLook w:val="01E0" w:firstRow="1" w:lastRow="1" w:firstColumn="1" w:lastColumn="1" w:noHBand="0" w:noVBand="0"/>
      </w:tblPr>
      <w:tblGrid>
        <w:gridCol w:w="4807"/>
        <w:gridCol w:w="576"/>
        <w:gridCol w:w="4812"/>
      </w:tblGrid>
      <w:tr w:rsidR="009F6D10" w:rsidRPr="009F6D10" w:rsidTr="008C4D7C">
        <w:trPr>
          <w:trHeight w:val="205"/>
          <w:jc w:val="center"/>
        </w:trPr>
        <w:tc>
          <w:tcPr>
            <w:tcW w:w="4807" w:type="dxa"/>
            <w:hideMark/>
          </w:tcPr>
          <w:p w:rsidR="009F6D10" w:rsidRPr="009F6D10" w:rsidRDefault="009F6D10" w:rsidP="009F6D10">
            <w:pPr>
              <w:pStyle w:val="a5"/>
              <w:jc w:val="both"/>
              <w:rPr>
                <w:rFonts w:ascii="Times New Roman" w:hAnsi="Times New Roman"/>
                <w:sz w:val="20"/>
                <w:szCs w:val="20"/>
              </w:rPr>
            </w:pPr>
            <w:r w:rsidRPr="009F6D10">
              <w:rPr>
                <w:rFonts w:ascii="Times New Roman" w:hAnsi="Times New Roman"/>
              </w:rPr>
              <w:t xml:space="preserve">         </w:t>
            </w:r>
            <w:r w:rsidRPr="009F6D10">
              <w:rPr>
                <w:rFonts w:ascii="Times New Roman" w:hAnsi="Times New Roman"/>
                <w:sz w:val="20"/>
                <w:szCs w:val="20"/>
              </w:rPr>
              <w:t>«Пудратчи»</w:t>
            </w:r>
          </w:p>
        </w:tc>
        <w:tc>
          <w:tcPr>
            <w:tcW w:w="576" w:type="dxa"/>
          </w:tcPr>
          <w:p w:rsidR="009F6D10" w:rsidRPr="009F6D10" w:rsidRDefault="009F6D10" w:rsidP="009F6D10">
            <w:pPr>
              <w:pStyle w:val="a5"/>
              <w:jc w:val="both"/>
              <w:rPr>
                <w:rFonts w:ascii="Times New Roman" w:hAnsi="Times New Roman"/>
                <w:sz w:val="20"/>
                <w:szCs w:val="20"/>
              </w:rPr>
            </w:pPr>
          </w:p>
        </w:tc>
        <w:tc>
          <w:tcPr>
            <w:tcW w:w="4812" w:type="dxa"/>
            <w:hideMark/>
          </w:tcPr>
          <w:p w:rsidR="009F6D10" w:rsidRPr="009F6D10" w:rsidRDefault="009F6D10" w:rsidP="009F6D10">
            <w:pPr>
              <w:pStyle w:val="a5"/>
              <w:jc w:val="both"/>
              <w:rPr>
                <w:rFonts w:ascii="Times New Roman" w:hAnsi="Times New Roman"/>
                <w:sz w:val="20"/>
                <w:szCs w:val="20"/>
              </w:rPr>
            </w:pPr>
            <w:r w:rsidRPr="009F6D10">
              <w:rPr>
                <w:rFonts w:ascii="Times New Roman" w:hAnsi="Times New Roman"/>
                <w:sz w:val="20"/>
                <w:szCs w:val="20"/>
              </w:rPr>
              <w:t>«Буюртмачи»</w:t>
            </w:r>
          </w:p>
        </w:tc>
      </w:tr>
      <w:tr w:rsidR="009F6D10" w:rsidRPr="009F6D10" w:rsidTr="008C4D7C">
        <w:trPr>
          <w:trHeight w:val="219"/>
          <w:jc w:val="center"/>
        </w:trPr>
        <w:tc>
          <w:tcPr>
            <w:tcW w:w="4807" w:type="dxa"/>
            <w:tcBorders>
              <w:top w:val="nil"/>
              <w:left w:val="nil"/>
              <w:bottom w:val="single" w:sz="4" w:space="0" w:color="auto"/>
              <w:right w:val="nil"/>
            </w:tcBorders>
            <w:vAlign w:val="bottom"/>
            <w:hideMark/>
          </w:tcPr>
          <w:p w:rsidR="009F6D10" w:rsidRPr="009F6D10" w:rsidRDefault="009F6D10" w:rsidP="009F6D10">
            <w:pPr>
              <w:pStyle w:val="a5"/>
              <w:jc w:val="both"/>
              <w:rPr>
                <w:rFonts w:ascii="Times New Roman" w:hAnsi="Times New Roman"/>
                <w:sz w:val="20"/>
                <w:szCs w:val="20"/>
              </w:rPr>
            </w:pPr>
          </w:p>
        </w:tc>
        <w:tc>
          <w:tcPr>
            <w:tcW w:w="576" w:type="dxa"/>
          </w:tcPr>
          <w:p w:rsidR="009F6D10" w:rsidRPr="009F6D10" w:rsidRDefault="009F6D10" w:rsidP="009F6D10">
            <w:pPr>
              <w:pStyle w:val="a5"/>
              <w:jc w:val="both"/>
              <w:rPr>
                <w:rFonts w:ascii="Times New Roman" w:hAnsi="Times New Roman"/>
                <w:sz w:val="20"/>
                <w:szCs w:val="20"/>
              </w:rPr>
            </w:pPr>
          </w:p>
        </w:tc>
        <w:tc>
          <w:tcPr>
            <w:tcW w:w="4812" w:type="dxa"/>
            <w:tcBorders>
              <w:top w:val="nil"/>
              <w:left w:val="nil"/>
              <w:bottom w:val="single" w:sz="4" w:space="0" w:color="auto"/>
              <w:right w:val="nil"/>
            </w:tcBorders>
            <w:vAlign w:val="bottom"/>
            <w:hideMark/>
          </w:tcPr>
          <w:p w:rsidR="009F6D10" w:rsidRPr="009F6D10" w:rsidRDefault="009F6D10" w:rsidP="009F6D10">
            <w:pPr>
              <w:pStyle w:val="a5"/>
              <w:jc w:val="both"/>
              <w:rPr>
                <w:rFonts w:ascii="Times New Roman" w:hAnsi="Times New Roman"/>
                <w:i/>
                <w:iCs/>
                <w:lang w:val="uz-Cyrl-UZ"/>
              </w:rPr>
            </w:pPr>
          </w:p>
        </w:tc>
      </w:tr>
    </w:tbl>
    <w:p w:rsidR="00E5238C" w:rsidRPr="009F6D10" w:rsidRDefault="00E5238C" w:rsidP="009F6D10">
      <w:pPr>
        <w:pStyle w:val="a5"/>
        <w:jc w:val="both"/>
        <w:rPr>
          <w:rFonts w:ascii="Times New Roman" w:hAnsi="Times New Roman"/>
        </w:rPr>
      </w:pPr>
    </w:p>
    <w:sectPr w:rsidR="00E5238C" w:rsidRPr="009F6D10" w:rsidSect="009F6D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10"/>
    <w:rsid w:val="001D69FF"/>
    <w:rsid w:val="00726480"/>
    <w:rsid w:val="009F6D10"/>
    <w:rsid w:val="00E5238C"/>
    <w:rsid w:val="00FC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3EB40-34BF-4543-B271-1B8BD379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D1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D10"/>
    <w:pPr>
      <w:spacing w:after="0" w:line="240" w:lineRule="auto"/>
      <w:jc w:val="both"/>
    </w:pPr>
    <w:rPr>
      <w:rFonts w:ascii="Times New Roman" w:hAnsi="Times New Roman"/>
      <w:b/>
      <w:sz w:val="28"/>
      <w:szCs w:val="20"/>
    </w:rPr>
  </w:style>
  <w:style w:type="character" w:customStyle="1" w:styleId="a4">
    <w:name w:val="Основной текст Знак"/>
    <w:basedOn w:val="a0"/>
    <w:link w:val="a3"/>
    <w:rsid w:val="009F6D10"/>
    <w:rPr>
      <w:rFonts w:ascii="Times New Roman" w:eastAsia="Times New Roman" w:hAnsi="Times New Roman" w:cs="Times New Roman"/>
      <w:b/>
      <w:sz w:val="28"/>
      <w:szCs w:val="20"/>
      <w:lang w:eastAsia="ru-RU"/>
    </w:rPr>
  </w:style>
  <w:style w:type="paragraph" w:styleId="a5">
    <w:name w:val="No Spacing"/>
    <w:uiPriority w:val="1"/>
    <w:qFormat/>
    <w:rsid w:val="009F6D1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2022-05-07T06:46:00Z</dcterms:created>
  <dcterms:modified xsi:type="dcterms:W3CDTF">2022-05-13T02:19:00Z</dcterms:modified>
</cp:coreProperties>
</file>