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A1" w:rsidRPr="00B114C9" w:rsidRDefault="005227E3" w:rsidP="00EB29A1">
      <w:pPr>
        <w:ind w:left="0" w:firstLine="0"/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color w:val="1F1F1F"/>
          <w:sz w:val="24"/>
          <w:szCs w:val="24"/>
          <w:shd w:val="clear" w:color="auto" w:fill="FFFFFF"/>
        </w:rPr>
        <w:t xml:space="preserve">                                                        Д О Г </w:t>
      </w:r>
      <w:r w:rsidR="00EB29A1" w:rsidRPr="00B114C9">
        <w:rPr>
          <w:rFonts w:ascii="Book Antiqua" w:hAnsi="Book Antiqua"/>
          <w:color w:val="1F1F1F"/>
          <w:sz w:val="24"/>
          <w:szCs w:val="24"/>
          <w:shd w:val="clear" w:color="auto" w:fill="FFFFFF"/>
        </w:rPr>
        <w:t>О В О Р   № _____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5227E3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г. Ташкент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ab/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ab/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ab/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ab/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ab/>
      </w:r>
      <w:r w:rsidR="005227E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ab/>
      </w:r>
      <w:r w:rsidR="005227E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ab/>
      </w:r>
      <w:r w:rsidR="005227E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ab/>
        <w:t xml:space="preserve">     </w:t>
      </w:r>
      <w:proofErr w:type="gramStart"/>
      <w:r w:rsidR="005227E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  «</w:t>
      </w:r>
      <w:proofErr w:type="gramEnd"/>
      <w:r w:rsidR="005227E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______» </w:t>
      </w:r>
      <w:r w:rsidR="00B114C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___________</w:t>
      </w:r>
      <w:r w:rsidR="005227E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2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г.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 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i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     Аудиторская организация «_________________________» (лицензия на право аудита № _____ от ____________ г.</w:t>
      </w:r>
      <w:r w:rsidR="0022003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выданн</w:t>
      </w:r>
      <w:r w:rsidR="0022003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ая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Министерством Финансов Республики Узбекистан), 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именуем</w:t>
      </w:r>
      <w:r w:rsidR="0022003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ая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в дальнейшем  «ИСПОЛНИТЕЛЬ», в лице _____________________________, 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действующе</w:t>
      </w:r>
      <w:r w:rsidR="0022003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го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на основании Устава, с одной стороны, и АО</w:t>
      </w:r>
      <w:r w:rsidRPr="00B114C9">
        <w:rPr>
          <w:rFonts w:ascii="Book Antiqua" w:hAnsi="Book Antiqua"/>
          <w:b w:val="0"/>
          <w:i/>
          <w:color w:val="1F1F1F"/>
          <w:sz w:val="24"/>
          <w:szCs w:val="24"/>
          <w:shd w:val="clear" w:color="auto" w:fill="FFFFFF"/>
        </w:rPr>
        <w:t xml:space="preserve">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«Международный Бизнес Центр», в лице Председателя Правления Аббасовой Ш.А., 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именуем</w:t>
      </w:r>
      <w:r w:rsidR="0022003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ое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в дальнейшем «ЗАКАЗЧИК», действующего на основании устава, с другой стороны,  заключили настоящий Договор </w:t>
      </w:r>
      <w:r w:rsidR="00833E2D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(далее – «</w:t>
      </w:r>
      <w:r w:rsidR="00833E2D" w:rsidRPr="00AF6903">
        <w:rPr>
          <w:rFonts w:ascii="Book Antiqua" w:hAnsi="Book Antiqua"/>
          <w:b w:val="0"/>
          <w:i/>
          <w:color w:val="1F1F1F"/>
          <w:sz w:val="24"/>
          <w:szCs w:val="24"/>
          <w:shd w:val="clear" w:color="auto" w:fill="FFFFFF"/>
        </w:rPr>
        <w:t>Договор</w:t>
      </w:r>
      <w:r w:rsidR="00833E2D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»)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 нижеследующем: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5823FC" w:rsidRDefault="005227E3" w:rsidP="005823FC">
      <w:pPr>
        <w:pStyle w:val="a6"/>
        <w:numPr>
          <w:ilvl w:val="0"/>
          <w:numId w:val="32"/>
        </w:numPr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5823FC">
        <w:rPr>
          <w:rFonts w:ascii="Book Antiqua" w:hAnsi="Book Antiqua"/>
          <w:color w:val="1F1F1F"/>
          <w:sz w:val="24"/>
          <w:szCs w:val="24"/>
          <w:shd w:val="clear" w:color="auto" w:fill="FFFFFF"/>
        </w:rPr>
        <w:t xml:space="preserve"> </w:t>
      </w:r>
      <w:r w:rsidR="00EB29A1" w:rsidRPr="005823FC">
        <w:rPr>
          <w:rFonts w:ascii="Book Antiqua" w:hAnsi="Book Antiqua"/>
          <w:color w:val="1F1F1F"/>
          <w:sz w:val="24"/>
          <w:szCs w:val="24"/>
          <w:shd w:val="clear" w:color="auto" w:fill="FFFFFF"/>
        </w:rPr>
        <w:t>ПРЕДМЕТ ДОГОВОРА</w:t>
      </w:r>
    </w:p>
    <w:p w:rsidR="00EB29A1" w:rsidRPr="005B3C1C" w:rsidRDefault="00EB29A1" w:rsidP="005B3C1C">
      <w:pPr>
        <w:pStyle w:val="a6"/>
        <w:numPr>
          <w:ilvl w:val="1"/>
          <w:numId w:val="2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ИСПОЛНИТЕЛЬ предоставляет услуги по проведению аудиторской проверки ЗАКАЗЧИКА с целью выражения мнения о финансовой отчетности. В том числе:</w:t>
      </w:r>
    </w:p>
    <w:p w:rsidR="00EB29A1" w:rsidRPr="00B114C9" w:rsidRDefault="00EB29A1" w:rsidP="005B3C1C">
      <w:pPr>
        <w:pStyle w:val="a6"/>
        <w:ind w:left="468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- </w:t>
      </w:r>
      <w:r w:rsidR="0022003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роведение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аудиторской проверки Акционерного 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Общества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«Междунаро</w:t>
      </w:r>
      <w:r w:rsidR="005227E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дный Бизнес Центр» по итогам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2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года по Национальным стандартам бухгалтерского учета;</w:t>
      </w:r>
    </w:p>
    <w:p w:rsidR="00EB29A1" w:rsidRPr="00B114C9" w:rsidRDefault="00EB29A1" w:rsidP="005B3C1C">
      <w:pPr>
        <w:pStyle w:val="a6"/>
        <w:ind w:left="468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- </w:t>
      </w:r>
      <w:r w:rsidR="0022003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роведение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аудиторской проверки Акционерного 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Общества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«Междунаро</w:t>
      </w:r>
      <w:r w:rsidR="005227E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дный Бизнес Центр» по итогам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2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года по Международным стандартам финансовой отчетности;</w:t>
      </w:r>
    </w:p>
    <w:p w:rsidR="00EB29A1" w:rsidRPr="00B114C9" w:rsidRDefault="00EB29A1" w:rsidP="005B3C1C">
      <w:pPr>
        <w:pStyle w:val="a6"/>
        <w:ind w:left="468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- Аудиторская проверка расчета ключевых показателей эффективности и проценто</w:t>
      </w:r>
      <w:r w:rsidR="005227E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в их выполнения за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2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год в соответствии с </w:t>
      </w:r>
      <w:r w:rsidR="0022003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«</w:t>
      </w:r>
      <w:r w:rsidRPr="00AF6903">
        <w:rPr>
          <w:rFonts w:ascii="Book Antiqua" w:hAnsi="Book Antiqua"/>
          <w:b w:val="0"/>
          <w:i/>
          <w:color w:val="1F1F1F"/>
          <w:sz w:val="24"/>
          <w:szCs w:val="24"/>
          <w:shd w:val="clear" w:color="auto" w:fill="FFFFFF"/>
        </w:rPr>
        <w:t>Положением о критериях оценки эффективности деятельности акционерных обществ и других хозяйствующих субъектов с долей государства</w:t>
      </w:r>
      <w:r w:rsidR="0022003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»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(Приложение к Постановлению КМ РУз от 28.07.2015 г. N 207);</w:t>
      </w:r>
    </w:p>
    <w:p w:rsidR="00EB29A1" w:rsidRPr="005B3C1C" w:rsidRDefault="00EB29A1" w:rsidP="005B3C1C">
      <w:pPr>
        <w:pStyle w:val="a6"/>
        <w:numPr>
          <w:ilvl w:val="1"/>
          <w:numId w:val="2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Проверяемый период: </w:t>
      </w:r>
      <w:r w:rsidR="003274BB"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 01 января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2</w:t>
      </w:r>
      <w:r w:rsidR="003274BB"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г</w:t>
      </w:r>
      <w:r w:rsidR="000C5717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  <w:r w:rsidR="003274BB"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по 31 декабря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2</w:t>
      </w:r>
      <w:r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г.</w:t>
      </w:r>
    </w:p>
    <w:p w:rsidR="00EB29A1" w:rsidRPr="005B3C1C" w:rsidRDefault="00EB29A1" w:rsidP="005B3C1C">
      <w:pPr>
        <w:pStyle w:val="a6"/>
        <w:numPr>
          <w:ilvl w:val="1"/>
          <w:numId w:val="2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Проверяемый хозяйствующий субъект</w:t>
      </w:r>
      <w:r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: АО «Международный </w:t>
      </w:r>
      <w:r w:rsidR="00220039"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Бизнес Центр</w:t>
      </w:r>
      <w:r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»</w:t>
      </w:r>
    </w:p>
    <w:p w:rsidR="00EB29A1" w:rsidRPr="00B114C9" w:rsidRDefault="00EB29A1" w:rsidP="005B3C1C">
      <w:pPr>
        <w:pStyle w:val="a6"/>
        <w:numPr>
          <w:ilvl w:val="1"/>
          <w:numId w:val="2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Объем выполняемых работ определяется ИСПОЛНИТЕЛЕМ в соответствии с Законом Республики Узбекистан «Об аудиторской деятельности», международными и национальными стандартами аудита. </w:t>
      </w:r>
    </w:p>
    <w:p w:rsidR="00EB29A1" w:rsidRPr="0041734D" w:rsidRDefault="00EB29A1" w:rsidP="005B3C1C">
      <w:pPr>
        <w:pStyle w:val="a6"/>
        <w:numPr>
          <w:ilvl w:val="1"/>
          <w:numId w:val="2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Срок выполнения аудиторской проверки: </w:t>
      </w:r>
      <w:r w:rsidR="00120710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начало:</w:t>
      </w:r>
      <w:r w:rsidR="00120710"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_</w:t>
      </w:r>
      <w:r w:rsidR="003274BB"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_________</w:t>
      </w:r>
      <w:r w:rsidR="003274BB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2</w:t>
      </w:r>
      <w:r w:rsidR="003274BB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г.</w:t>
      </w:r>
      <w:bookmarkStart w:id="0" w:name="_GoBack"/>
      <w:bookmarkEnd w:id="0"/>
      <w:r w:rsidR="003274BB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proofErr w:type="gramStart"/>
      <w:r w:rsidR="003274BB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окончание:   </w:t>
      </w:r>
      <w:proofErr w:type="gramEnd"/>
      <w:r w:rsidR="003274BB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         </w:t>
      </w:r>
      <w:r w:rsidR="003274BB" w:rsidRPr="0041734D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«01</w:t>
      </w:r>
      <w:r w:rsidRPr="0041734D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» </w:t>
      </w:r>
      <w:r w:rsidR="003274BB" w:rsidRPr="0041734D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мая 202</w:t>
      </w:r>
      <w:r w:rsid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  <w:lang w:val="en-US"/>
        </w:rPr>
        <w:t>3</w:t>
      </w:r>
      <w:r w:rsidRPr="0041734D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г.</w:t>
      </w:r>
    </w:p>
    <w:p w:rsidR="00EB29A1" w:rsidRPr="00B114C9" w:rsidRDefault="00EB29A1" w:rsidP="005B3C1C">
      <w:pPr>
        <w:pStyle w:val="a6"/>
        <w:numPr>
          <w:ilvl w:val="1"/>
          <w:numId w:val="2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Объем и предмет   работ, подлежащих выполнению независимой аудиторской организацией следующий:</w:t>
      </w:r>
    </w:p>
    <w:p w:rsidR="00EB29A1" w:rsidRPr="00B114C9" w:rsidRDefault="00EB29A1" w:rsidP="000C5717">
      <w:pPr>
        <w:pStyle w:val="a6"/>
        <w:ind w:left="468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- </w:t>
      </w:r>
      <w:r w:rsidR="00220039"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проведени</w:t>
      </w:r>
      <w:r w:rsidR="0022003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е</w:t>
      </w:r>
      <w:r w:rsidR="00220039"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="003274BB"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внешнего аудита за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2</w:t>
      </w:r>
      <w:r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год в соответствии с Национальными стандартами бухгалтерско</w:t>
      </w:r>
      <w:r w:rsidR="003274BB"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го учета в срок до 1 мая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3</w:t>
      </w:r>
      <w:r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года;</w:t>
      </w:r>
    </w:p>
    <w:p w:rsidR="00EB29A1" w:rsidRPr="00B114C9" w:rsidRDefault="00EB29A1" w:rsidP="000C5717">
      <w:pPr>
        <w:pStyle w:val="a6"/>
        <w:ind w:left="468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- п</w:t>
      </w:r>
      <w:r w:rsidR="003274BB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роведение внешнего аудита за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2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год в соответствии с Международными стандартами финансовой отчетности и Международными станда</w:t>
      </w:r>
      <w:r w:rsidR="003274BB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ртами аудита в срок до 1 мая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3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года;</w:t>
      </w:r>
    </w:p>
    <w:p w:rsidR="00EB29A1" w:rsidRPr="00B114C9" w:rsidRDefault="00EB29A1" w:rsidP="000C5717">
      <w:pPr>
        <w:pStyle w:val="a6"/>
        <w:ind w:left="468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- аудиторская проверка значений Ключевых показателей эффективности (КПЭ) и интегральных коэффициентов эффективности (ИКЭ) с поквартальным заключением в срок до </w:t>
      </w:r>
      <w:r w:rsidR="003274BB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1 мая 202</w:t>
      </w:r>
      <w:r w:rsidR="00A943B0" w:rsidRPr="00A943B0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3</w:t>
      </w:r>
      <w:r w:rsidR="003274BB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года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957413" w:rsidRDefault="00EB29A1" w:rsidP="00957413">
      <w:pPr>
        <w:pStyle w:val="a6"/>
        <w:numPr>
          <w:ilvl w:val="1"/>
          <w:numId w:val="2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По 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завершени</w:t>
      </w:r>
      <w:r w:rsidR="0022003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</w:t>
      </w:r>
      <w:r w:rsidR="0022003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проверки, ИСПОЛНИТЕЛЬ предоставляет</w:t>
      </w:r>
      <w:r w:rsid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аудиторское заключение и отчет аудитора на русском языке.</w:t>
      </w:r>
    </w:p>
    <w:p w:rsidR="00EB29A1" w:rsidRPr="00B114C9" w:rsidRDefault="00EB29A1" w:rsidP="000C5717">
      <w:pPr>
        <w:pStyle w:val="a6"/>
        <w:ind w:left="468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0C5717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Проект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аудиторского </w:t>
      </w:r>
      <w:r w:rsidR="008C2E95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</w:t>
      </w:r>
      <w:r w:rsidR="008C2E95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аключения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 </w:t>
      </w:r>
      <w:r w:rsidR="008C2E95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отч</w:t>
      </w:r>
      <w:r w:rsidR="008C2E95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8C2E95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та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аудитора предоставляется для ознакомления и согласования руководству Заказчика не позднее </w:t>
      </w:r>
      <w:r w:rsidR="008C2E95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тр</w:t>
      </w:r>
      <w:r w:rsidR="008C2E95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8C2E95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х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дней после завершения проверки. Заключение и отчет аудитора предоставляется не позднее трех дней после согласования </w:t>
      </w:r>
      <w:r w:rsidR="008C2E95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</w:t>
      </w:r>
      <w:r w:rsidR="008C2E95" w:rsidRPr="000C5717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роекта</w:t>
      </w:r>
      <w:r w:rsidR="008C2E95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отч</w:t>
      </w:r>
      <w:r w:rsidR="008C2E95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8C2E95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та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 Заказчиком.</w:t>
      </w:r>
    </w:p>
    <w:p w:rsidR="00EB29A1" w:rsidRPr="00B114C9" w:rsidRDefault="00EB29A1" w:rsidP="000C5717">
      <w:pPr>
        <w:pStyle w:val="a6"/>
        <w:ind w:left="468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lastRenderedPageBreak/>
        <w:t xml:space="preserve">Аудиторское заключение и </w:t>
      </w:r>
      <w:r w:rsidR="008C2E95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отч</w:t>
      </w:r>
      <w:r w:rsidR="008C2E95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8C2E95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аудитора предоставляется не позднее срока, указанного в п. 1.5 </w:t>
      </w:r>
      <w:r w:rsidR="00072BB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Договора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. Датой выполнения работ Исполнителем считается дата предоставленных 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</w:t>
      </w:r>
      <w:r w:rsidR="00072BB3" w:rsidRPr="000C5717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роектов</w:t>
      </w:r>
      <w:r w:rsidR="00072BB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отч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072BB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та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 аудиторского заключения. 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5823FC" w:rsidRDefault="00EB29A1" w:rsidP="005823FC">
      <w:pPr>
        <w:pStyle w:val="a6"/>
        <w:numPr>
          <w:ilvl w:val="0"/>
          <w:numId w:val="32"/>
        </w:numPr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5823FC">
        <w:rPr>
          <w:rFonts w:ascii="Book Antiqua" w:hAnsi="Book Antiqua"/>
          <w:color w:val="1F1F1F"/>
          <w:sz w:val="24"/>
          <w:szCs w:val="24"/>
          <w:shd w:val="clear" w:color="auto" w:fill="FFFFFF"/>
        </w:rPr>
        <w:t xml:space="preserve">СТОИМОСТЬ РАБОТ И ПОРЯДОК </w:t>
      </w:r>
      <w:r w:rsidR="00072BB3" w:rsidRPr="005823FC">
        <w:rPr>
          <w:rFonts w:ascii="Book Antiqua" w:hAnsi="Book Antiqua"/>
          <w:color w:val="1F1F1F"/>
          <w:sz w:val="24"/>
          <w:szCs w:val="24"/>
          <w:shd w:val="clear" w:color="auto" w:fill="FFFFFF"/>
        </w:rPr>
        <w:t>РАСЧЁТОВ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362046">
      <w:pPr>
        <w:pStyle w:val="a6"/>
        <w:numPr>
          <w:ilvl w:val="1"/>
          <w:numId w:val="25"/>
        </w:numPr>
        <w:ind w:left="709" w:hanging="709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Общая сумма договора составляет: _____________________ (__________________) </w:t>
      </w:r>
      <w:proofErr w:type="spellStart"/>
      <w:r w:rsidR="003274BB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сум</w:t>
      </w:r>
      <w:proofErr w:type="spellEnd"/>
      <w:r w:rsidR="003274BB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в том числе НДС (15%)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5B3C1C" w:rsidRDefault="00EB29A1" w:rsidP="00362046">
      <w:pPr>
        <w:pStyle w:val="a6"/>
        <w:numPr>
          <w:ilvl w:val="1"/>
          <w:numId w:val="25"/>
        </w:numPr>
        <w:ind w:left="709" w:hanging="709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Заказчик производит предварительную оплату в размере 50% (пятьдесят) в течение 10 (десяти) рабочих дней, остальная часть 50% (пятьдесят) в течение 10 (десяти) рабочих дней после подписания Акта выполненных работ/Счёт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а-</w:t>
      </w:r>
      <w:r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фактуры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B29A1" w:rsidP="00362046">
      <w:pPr>
        <w:pStyle w:val="a6"/>
        <w:numPr>
          <w:ilvl w:val="1"/>
          <w:numId w:val="25"/>
        </w:numPr>
        <w:ind w:left="709" w:hanging="709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П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осле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="00072BB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завершени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я</w:t>
      </w:r>
      <w:r w:rsidR="00072BB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работ, одновременно с предоставленным 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</w:t>
      </w:r>
      <w:r w:rsidR="00072BB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роектом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отчета аудитора </w:t>
      </w:r>
      <w:r w:rsidR="00072BB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Исполнитель пред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</w:t>
      </w:r>
      <w:r w:rsidR="00072BB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ставляет Заказчику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акт 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–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сч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т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-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фактуру сдачи-приемки результатов работ.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numPr>
          <w:ilvl w:val="0"/>
          <w:numId w:val="15"/>
        </w:numPr>
        <w:jc w:val="center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color w:val="1F1F1F"/>
          <w:sz w:val="24"/>
          <w:szCs w:val="24"/>
          <w:shd w:val="clear" w:color="auto" w:fill="FFFFFF"/>
        </w:rPr>
        <w:t>ПРАВА СТОРОН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numPr>
          <w:ilvl w:val="1"/>
          <w:numId w:val="15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ЗАКАЗЧИК имеет право получать от ИСПОЛНИТЕЛЯ исчерпывающую информацию о требованиях законодательства, касающихся проведения аудита, правах и обязанностях сторон, а после ознакомления с аудиторским заключением - о нормативных актах, на которых основаны замечания и выводы аудитора.</w:t>
      </w:r>
    </w:p>
    <w:p w:rsidR="00EB29A1" w:rsidRPr="00B114C9" w:rsidRDefault="00EB29A1" w:rsidP="00EB29A1">
      <w:pPr>
        <w:numPr>
          <w:ilvl w:val="1"/>
          <w:numId w:val="15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ЗАКАЗЧИК, или хозяйствующий субъект, в отношении которого проводится аудиторская проверка по поручению ЗАКАЗЧИКА, имеет право получать консультации и рекомендации в рамках предмета Договора с </w:t>
      </w:r>
      <w:r w:rsidR="00072BB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уч</w:t>
      </w:r>
      <w:r w:rsidR="00072BB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072BB3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том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проверяемого периода.</w:t>
      </w:r>
    </w:p>
    <w:p w:rsidR="00EB29A1" w:rsidRPr="00B114C9" w:rsidRDefault="00EB29A1" w:rsidP="00EB29A1">
      <w:pPr>
        <w:numPr>
          <w:ilvl w:val="1"/>
          <w:numId w:val="15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ИСПОЛНИТЕЛЬ имеет право:</w:t>
      </w:r>
    </w:p>
    <w:p w:rsidR="00EB29A1" w:rsidRPr="005B3C1C" w:rsidRDefault="00072BB3" w:rsidP="005B3C1C">
      <w:pPr>
        <w:pStyle w:val="a6"/>
        <w:numPr>
          <w:ilvl w:val="2"/>
          <w:numId w:val="15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Самостоятельно </w:t>
      </w:r>
      <w:r w:rsidR="00EB29A1" w:rsidRPr="005B3C1C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организовывать свою работу и руководить ею, определять формы и методы аудиторской проверки, очередность отдельных операций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072BB3" w:rsidP="005B3C1C">
      <w:pPr>
        <w:pStyle w:val="a6"/>
        <w:numPr>
          <w:ilvl w:val="2"/>
          <w:numId w:val="15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Привлекать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по своему выбору, за свой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сч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 под свою ответственность специалистов - физических или юридических лиц (по поручению) - для выполнения определенных частей работы или всего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е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объема, предусмотренного Договором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072BB3" w:rsidP="005B3C1C">
      <w:pPr>
        <w:pStyle w:val="a6"/>
        <w:numPr>
          <w:ilvl w:val="2"/>
          <w:numId w:val="15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Присутствовать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на общих собраниях учредителей (акционеров) ЗАКАЗЧИКА при обсуждении любых вопросов, связанных с выполнением работ по Договору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072BB3" w:rsidP="005B3C1C">
      <w:pPr>
        <w:pStyle w:val="a6"/>
        <w:numPr>
          <w:ilvl w:val="2"/>
          <w:numId w:val="15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Получать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 ЗАКАЗЧИКА письма-подтверждения о связанных (аффилированных) лицах и заинтересованных сделках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</w:p>
    <w:p w:rsidR="00EB29A1" w:rsidRPr="00B114C9" w:rsidRDefault="00072BB3" w:rsidP="005B3C1C">
      <w:pPr>
        <w:pStyle w:val="a6"/>
        <w:numPr>
          <w:ilvl w:val="2"/>
          <w:numId w:val="15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Получать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сведения от ЗАКАЗЧИКА и подтверждения от третьих лиц о дебиторских и кредиторских задолженностях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072BB3" w:rsidP="005B3C1C">
      <w:pPr>
        <w:pStyle w:val="a6"/>
        <w:numPr>
          <w:ilvl w:val="2"/>
          <w:numId w:val="15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Получать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сведения от ЗАКАЗЧИКА об остатках денежных средств на банковских счетах и об исполнении валютных контрактов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B29A1" w:rsidP="00EB29A1">
      <w:pPr>
        <w:numPr>
          <w:ilvl w:val="1"/>
          <w:numId w:val="15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При возникновении спорных вопросов при проверке ЗАКАЗЧИКА контролирующими органами ИСПОЛНИТЕЛЬ может привлекать за свой счет и по согласованию с ЗАКАЗЧИКОМ, независимую аудиторскую организацию для осуществления перепроверки с целью подтверждения достоверности или недостоверности выводов, изложенных в Отчете и Заключении ИСПОЛНИТЕЛЯ, подготовленных согласно п.1.6. 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Д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оговора. 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numPr>
          <w:ilvl w:val="0"/>
          <w:numId w:val="15"/>
        </w:numPr>
        <w:jc w:val="center"/>
        <w:rPr>
          <w:rFonts w:ascii="Book Antiqua" w:hAnsi="Book Antiqua"/>
          <w:iCs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iCs/>
          <w:color w:val="1F1F1F"/>
          <w:sz w:val="24"/>
          <w:szCs w:val="24"/>
          <w:shd w:val="clear" w:color="auto" w:fill="FFFFFF"/>
        </w:rPr>
        <w:t>ОБЯЗАННОСТИ СТОРОН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957413" w:rsidRDefault="00EB29A1" w:rsidP="000F17D4">
      <w:pPr>
        <w:numPr>
          <w:ilvl w:val="1"/>
          <w:numId w:val="17"/>
        </w:numPr>
        <w:tabs>
          <w:tab w:val="clear" w:pos="435"/>
          <w:tab w:val="num" w:pos="0"/>
        </w:tabs>
        <w:ind w:left="709" w:hanging="709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ЗАКАЗЧИК для выполнения работ по Договору обязан обеспечить следующие условия:</w:t>
      </w:r>
    </w:p>
    <w:p w:rsidR="00EB29A1" w:rsidRPr="00B114C9" w:rsidRDefault="00EB29A1" w:rsidP="00EB29A1">
      <w:pPr>
        <w:numPr>
          <w:ilvl w:val="2"/>
          <w:numId w:val="17"/>
        </w:numPr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Беспрепятственный доступ аудиторов и привлеченных ИСПОЛНИТЕЛЕМ специалистов в необходимые для выполнения Договора подразделения проверяемого хозяйствующего субъекта, в том числе производственные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  <w:r w:rsidR="00EA0F89" w:rsidRPr="00B114C9">
        <w:rPr>
          <w:rFonts w:ascii="Book Antiqua" w:hAnsi="Book Antiqua"/>
          <w:color w:val="1F1F1F"/>
          <w:sz w:val="24"/>
          <w:szCs w:val="24"/>
          <w:shd w:val="clear" w:color="auto" w:fill="FFFFFF"/>
        </w:rPr>
        <w:t xml:space="preserve"> </w:t>
      </w:r>
    </w:p>
    <w:p w:rsidR="00EB29A1" w:rsidRPr="00B114C9" w:rsidRDefault="00EB29A1" w:rsidP="00EB29A1">
      <w:pPr>
        <w:numPr>
          <w:ilvl w:val="2"/>
          <w:numId w:val="17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Выделение ИСПОЛНИТЕЛЮ для работы отдельного помещения с оснащенными рабочими местами, средствами связи и со шкафом для хранения документов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B29A1" w:rsidP="00EB29A1">
      <w:pPr>
        <w:numPr>
          <w:ilvl w:val="2"/>
          <w:numId w:val="17"/>
        </w:numPr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Представление финансовой (бухгалтерской) отчетности в соответствии с действующими на момент ее составления нормативными документами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B29A1" w:rsidP="00EB29A1">
      <w:pPr>
        <w:numPr>
          <w:ilvl w:val="2"/>
          <w:numId w:val="17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Предоставление первичной документации, учетных регистров, финансовой </w:t>
      </w:r>
      <w:r w:rsidR="00EA0F8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отч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EA0F8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тности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 копий документов для формирования файла аудиторских доказательств, а также иной информации, необходимой для выполнения предмета Договора в полном объеме и в сроки, обеспечивающие выполнение условий Договора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B29A1" w:rsidP="00EB29A1">
      <w:pPr>
        <w:numPr>
          <w:ilvl w:val="2"/>
          <w:numId w:val="17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Предоставление ИСПОЛНИТЕЛЮ объяснений должностных лиц и материально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ответственных работников проверяемого хозяйствующего субъекта, а также присутствие и участие последних в работе в необходимых случаях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A0F89" w:rsidP="00EB29A1">
      <w:pPr>
        <w:numPr>
          <w:ilvl w:val="2"/>
          <w:numId w:val="17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Предоставление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ИСПОЛНИТЕЛЮ возможности проверять наличие основных средств, товарно-материальных ценностей, денежных средств и денежных документов, ценных бумаг и других активов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A0F89" w:rsidP="00EB29A1">
      <w:pPr>
        <w:numPr>
          <w:ilvl w:val="2"/>
          <w:numId w:val="17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Оказание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содействия ИСПОЛНИТЕЛЮ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при необходимости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в получении им по письменному запросу информации от третьих лиц, в том числе дебиторов и кредиторов проверяемого хозяйствующего субъекта.</w:t>
      </w:r>
    </w:p>
    <w:p w:rsidR="00EB29A1" w:rsidRPr="00B114C9" w:rsidRDefault="00EA0F89" w:rsidP="00EB29A1">
      <w:pPr>
        <w:numPr>
          <w:ilvl w:val="2"/>
          <w:numId w:val="17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Обеспечение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доступа ко всей информации, о которой 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р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уководству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ЗАКАЗЧИКА известно, что она является значимой для подготовки финансовой отчетности, например, записи, документация и прочие вопросы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A0F89" w:rsidP="00EB29A1">
      <w:pPr>
        <w:numPr>
          <w:ilvl w:val="2"/>
          <w:numId w:val="17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Обеспечение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доступа к дополнительной информации, которую аудитор может запросить у 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р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уководства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ЗАКАЗЧИКА для целей проведения аудита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</w:p>
    <w:p w:rsidR="00EB29A1" w:rsidRPr="00B114C9" w:rsidRDefault="00EA0F89" w:rsidP="00EB29A1">
      <w:pPr>
        <w:numPr>
          <w:ilvl w:val="2"/>
          <w:numId w:val="17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Обеспечение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неограниченного доступа к лицам в рамках проверяемого хозяйствующего субъекта, от которых аудитор считает необходимым получить аудиторское доказательство.</w:t>
      </w:r>
    </w:p>
    <w:p w:rsidR="00EB29A1" w:rsidRPr="00B114C9" w:rsidRDefault="00EA0F89" w:rsidP="00EB29A1">
      <w:pPr>
        <w:numPr>
          <w:ilvl w:val="2"/>
          <w:numId w:val="17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Давать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письменное подтверждение представлений, сделанных аудитору в связи с аудитом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A0F89" w:rsidP="00EB29A1">
      <w:pPr>
        <w:numPr>
          <w:ilvl w:val="2"/>
          <w:numId w:val="17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Обеспечение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всестороннего сотрудничества 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работников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Заказчика в ходе аудита.</w:t>
      </w:r>
    </w:p>
    <w:p w:rsidR="00EB29A1" w:rsidRPr="00B114C9" w:rsidRDefault="00EB29A1" w:rsidP="00362046">
      <w:pPr>
        <w:numPr>
          <w:ilvl w:val="1"/>
          <w:numId w:val="17"/>
        </w:numPr>
        <w:tabs>
          <w:tab w:val="clear" w:pos="435"/>
          <w:tab w:val="num" w:pos="0"/>
        </w:tabs>
        <w:ind w:left="709" w:hanging="709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Для получения консультаций в рамках предмета Договора ЗАКАЗЧИК должен подготовить запросы ИСПОЛНИТЕЛЮ в письменной форме.</w:t>
      </w:r>
    </w:p>
    <w:p w:rsidR="00EB29A1" w:rsidRPr="00B114C9" w:rsidRDefault="00EB29A1" w:rsidP="00362046">
      <w:pPr>
        <w:numPr>
          <w:ilvl w:val="1"/>
          <w:numId w:val="17"/>
        </w:numPr>
        <w:tabs>
          <w:tab w:val="clear" w:pos="435"/>
          <w:tab w:val="num" w:pos="0"/>
        </w:tabs>
        <w:ind w:left="709" w:hanging="709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ЗАКАЗЧИК, выразивший согласие с мнением аудитора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обязан оперативно устранять выявленные аудиторской проверкой существенные нарушения порядка бухгалтерского </w:t>
      </w:r>
      <w:r w:rsidR="00EA0F8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уч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EA0F8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та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 составления бухгалтерской (финансовой) отчетности. По замечаниям, имеющим системный характер, ЗАКАЗЧИК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в случае согласия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обязан представить скорректированные данные, заверенные главным бухгалтером и подготовленные в соответствии с поручением ИСПОЛНИТЕЛЯ.</w:t>
      </w:r>
    </w:p>
    <w:p w:rsidR="00EB29A1" w:rsidRPr="00B114C9" w:rsidRDefault="00EB29A1" w:rsidP="00362046">
      <w:pPr>
        <w:ind w:left="709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В случае неисполнения ЗАКАЗЧИКОМ корректировок в установленные Поручением сроки или проведение их в неполном объеме, ИСПОЛНИТЕЛЬ подготавливает аудиторское Заключение на основе имеющихся данных.</w:t>
      </w:r>
    </w:p>
    <w:p w:rsidR="00EB29A1" w:rsidRPr="00B114C9" w:rsidRDefault="00EB29A1" w:rsidP="00362046">
      <w:pPr>
        <w:numPr>
          <w:ilvl w:val="1"/>
          <w:numId w:val="17"/>
        </w:numPr>
        <w:tabs>
          <w:tab w:val="clear" w:pos="435"/>
          <w:tab w:val="num" w:pos="0"/>
        </w:tabs>
        <w:ind w:left="709" w:hanging="709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При осуществлении плановых проверок координационными органами ЗАКАЗЧИК обязан пригласить в письменной форме представителей ИСПОЛНИТЕЛЯ, но не позже пяти дней до окончания проверки.</w:t>
      </w:r>
    </w:p>
    <w:p w:rsidR="00EB29A1" w:rsidRPr="00B114C9" w:rsidRDefault="00EB29A1" w:rsidP="00362046">
      <w:pPr>
        <w:numPr>
          <w:ilvl w:val="1"/>
          <w:numId w:val="17"/>
        </w:numPr>
        <w:tabs>
          <w:tab w:val="clear" w:pos="435"/>
          <w:tab w:val="num" w:pos="0"/>
        </w:tabs>
        <w:ind w:left="709" w:hanging="709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lastRenderedPageBreak/>
        <w:t>ЗАКАЗЧИК обязан своевременно оплачивать ИСПОЛНИТЕЛЮ стоимость работ по Договору.</w:t>
      </w:r>
    </w:p>
    <w:p w:rsidR="00EB29A1" w:rsidRPr="00023681" w:rsidRDefault="00EB29A1" w:rsidP="00362046">
      <w:pPr>
        <w:numPr>
          <w:ilvl w:val="1"/>
          <w:numId w:val="17"/>
        </w:numPr>
        <w:tabs>
          <w:tab w:val="clear" w:pos="435"/>
          <w:tab w:val="num" w:pos="0"/>
          <w:tab w:val="num" w:pos="709"/>
        </w:tabs>
        <w:ind w:left="709" w:hanging="709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ИСПОЛНИТЕЛЬ обязан</w:t>
      </w:r>
      <w:r w:rsidRPr="00023681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:</w:t>
      </w:r>
    </w:p>
    <w:p w:rsidR="00EB29A1" w:rsidRPr="00B114C9" w:rsidRDefault="00EA0F89" w:rsidP="00EB29A1">
      <w:pPr>
        <w:numPr>
          <w:ilvl w:val="2"/>
          <w:numId w:val="1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Проводить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аудиторскую проверку в соответствии с требованиями законодательства Республики Узбекистан и национальными стандартами аудита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</w:p>
    <w:p w:rsidR="00EB29A1" w:rsidRPr="00B114C9" w:rsidRDefault="00EA0F89" w:rsidP="00EB29A1">
      <w:pPr>
        <w:numPr>
          <w:ilvl w:val="2"/>
          <w:numId w:val="1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Предъявлять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перед заключением Договора соответствующую лицензию на осуществление аудиторской деятельности, квалификационный сертификат аудитора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</w:p>
    <w:p w:rsidR="00EB29A1" w:rsidRPr="00B114C9" w:rsidRDefault="00EA0F89" w:rsidP="00EB29A1">
      <w:pPr>
        <w:numPr>
          <w:ilvl w:val="2"/>
          <w:numId w:val="1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Представлять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информацию согласно п. 3, статьи 7 Закона «Об аудиторской деятельности».</w:t>
      </w:r>
    </w:p>
    <w:p w:rsidR="00EB29A1" w:rsidRPr="00B114C9" w:rsidRDefault="00EB29A1" w:rsidP="00EB29A1">
      <w:pPr>
        <w:numPr>
          <w:ilvl w:val="2"/>
          <w:numId w:val="1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="00EA0F8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Осуществлять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свою деятельность на высоком профессиональном уровне, соблюдая принципы верховенства закона, объективности, независимости и конфиденциальности</w:t>
      </w:r>
      <w:r w:rsidR="00EA0F8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A0F89" w:rsidP="00EB29A1">
      <w:pPr>
        <w:numPr>
          <w:ilvl w:val="2"/>
          <w:numId w:val="1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Немедленно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сообщать ЗАКАЗЧИКУ о невозможности своего участия в проверке вследствие обстоятельств, указанных в нормативных актах, регулирующих аудиторскую деятельность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A0F89" w:rsidP="00EB29A1">
      <w:pPr>
        <w:numPr>
          <w:ilvl w:val="2"/>
          <w:numId w:val="1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По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окончании аудита представить ЗАКАЗЧИКУ аудиторское Заключение и Отчет аудитора, составленные в соответствии с национальными стандартами аудита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472BFE" w:rsidP="00EB29A1">
      <w:pPr>
        <w:numPr>
          <w:ilvl w:val="2"/>
          <w:numId w:val="1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Предоставлять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ЗАКАЗЧИКУ консультации и экспертные Заключения в рамках предмета Договора в согласованные сторонами сроки</w:t>
      </w:r>
      <w:r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472BFE" w:rsidP="00EB29A1">
      <w:pPr>
        <w:numPr>
          <w:ilvl w:val="2"/>
          <w:numId w:val="1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Не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разглашать сведений, составляющих коммерческую тайну ЗАКАЗЧИКА, ставших известными в процессе работы по Договору, кроме как с согласия ЗАКАЗЧИКА. Данное условие не распространяется на информацию, доступную неопределенному кругу лиц или полученную из других источников и за исключением случаев, предусмотренных законодательством;</w:t>
      </w:r>
    </w:p>
    <w:p w:rsidR="00EB29A1" w:rsidRPr="00B114C9" w:rsidRDefault="00472BFE" w:rsidP="00EB29A1">
      <w:pPr>
        <w:numPr>
          <w:ilvl w:val="2"/>
          <w:numId w:val="1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Обеспечить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сохранность документов, получаемых и составляемых в ходе аудиторской проверки и выполнении других видов аудиторской деятельности по Договору.</w:t>
      </w:r>
    </w:p>
    <w:p w:rsidR="00EB29A1" w:rsidRPr="00B114C9" w:rsidRDefault="00472BFE" w:rsidP="00EB29A1">
      <w:pPr>
        <w:numPr>
          <w:ilvl w:val="2"/>
          <w:numId w:val="18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Сообщать 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руководству (собственникам) хозяйствующего субъекта об обнаруженных фактах, явно свидетельствующих о причинении хозяйствующему субъекту убытков его должностными лицами и другими работниками, и делать об этом запись в аудиторском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отч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те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numPr>
          <w:ilvl w:val="0"/>
          <w:numId w:val="16"/>
        </w:numPr>
        <w:jc w:val="center"/>
        <w:rPr>
          <w:rFonts w:ascii="Book Antiqua" w:hAnsi="Book Antiqua"/>
          <w:iCs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iCs/>
          <w:color w:val="1F1F1F"/>
          <w:sz w:val="24"/>
          <w:szCs w:val="24"/>
          <w:shd w:val="clear" w:color="auto" w:fill="FFFFFF"/>
        </w:rPr>
        <w:t>ОТВЕТСТВЕННОСТЬ СТОРОН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numPr>
          <w:ilvl w:val="1"/>
          <w:numId w:val="16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ЗАКАЗЧИК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нес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ответственность за достоверное предоставление финансовой отчетности в соответствии с Международными Стандартами Аудита, за подлинность предоставляемых ИСПОЛНИТЕЛЮ документов и информационного материала для проведения работ по Договору, за такие средства внутреннего контроля, которые 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р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уководством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ЗАКАЗЧИКА определены как необходимые для подготовки финансовой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отч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тности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 не содержащей существенных искажений, вызванных мошенничеством или ошибкой, за не устранение  недостатков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выявленных в ходе проведения аудита.</w:t>
      </w:r>
    </w:p>
    <w:p w:rsidR="00EB29A1" w:rsidRPr="00B114C9" w:rsidRDefault="003410A7" w:rsidP="00EB29A1">
      <w:pPr>
        <w:numPr>
          <w:ilvl w:val="1"/>
          <w:numId w:val="16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3410A7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При несвоевременной оплате выполненных работ, ЗАКАЗЧИК уплачивает ИСПОЛНИТЕЛЮ пеню в размере 0,4 процента суммы просроченного платежа за каждый день просрочки, но не более 50 процентов суммы просроченного платежа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B114C9" w:rsidRDefault="003410A7" w:rsidP="00EB29A1">
      <w:pPr>
        <w:numPr>
          <w:ilvl w:val="1"/>
          <w:numId w:val="16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3410A7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В случае несвоевременной выполнении работ ИСПОЛНИТЕЛЬ уплачивает ЗАКАЗЧИКУ пеню в размере 0,5 процента неисполненной части обязательства за </w:t>
      </w:r>
      <w:r w:rsidRPr="003410A7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lastRenderedPageBreak/>
        <w:t>каждый день просрочки, но при этом общая сумма пени не должна превышать 50 процентов стоимости невыполненных работ</w:t>
      </w:r>
      <w:r w:rsidR="00EB29A1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</w:t>
      </w:r>
    </w:p>
    <w:p w:rsidR="00EB29A1" w:rsidRPr="00023681" w:rsidRDefault="00EB29A1" w:rsidP="00023681">
      <w:pPr>
        <w:numPr>
          <w:ilvl w:val="1"/>
          <w:numId w:val="16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ИСПОЛНИТЕЛЬ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нес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ответственность перед ЗАКАЗЧИКОМ за причинение им ущерба вследствие составления аудиторского Заключения, содержащего неправильный вывод о финансовой отчетности и иной финансовой информации ЗАКАЗЧИКА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содержащей существенные отклонения. Ущерб, причиненный ЗАКАЗЧИКУ, должен быть доказан и подлежит возмещению в соответствии с действующим законодательством. </w:t>
      </w:r>
      <w:r w:rsidRPr="00023681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При этом должны быть соблюдены обязанности ЗАКАЗЧИКА, указанные в пункте </w:t>
      </w:r>
      <w:r w:rsidR="00AF690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4</w:t>
      </w:r>
      <w:r w:rsidRPr="00023681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.1.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="00AF690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Договора.</w:t>
      </w:r>
    </w:p>
    <w:p w:rsidR="00EB29A1" w:rsidRPr="00B114C9" w:rsidRDefault="00EB29A1" w:rsidP="00023681">
      <w:pPr>
        <w:numPr>
          <w:ilvl w:val="1"/>
          <w:numId w:val="16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Перед третьими лицами ИСПОЛНИТЕЛЬ несет ответственность только за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сво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заключение по данной финансовой отчетности,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подготовленно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е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на основе аудиторской выборки, отраженной в рабочих документах аудитора. </w:t>
      </w:r>
    </w:p>
    <w:p w:rsidR="00EB29A1" w:rsidRPr="00B114C9" w:rsidRDefault="00EB29A1" w:rsidP="00EB29A1">
      <w:pPr>
        <w:numPr>
          <w:ilvl w:val="1"/>
          <w:numId w:val="16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ИСПОЛНИТЕЛЬ</w:t>
      </w:r>
      <w:r w:rsidRPr="00B114C9">
        <w:rPr>
          <w:rFonts w:ascii="Book Antiqua" w:hAnsi="Book Antiqua"/>
          <w:color w:val="1F1F1F"/>
          <w:sz w:val="24"/>
          <w:szCs w:val="24"/>
          <w:shd w:val="clear" w:color="auto" w:fill="FFFFFF"/>
        </w:rPr>
        <w:t xml:space="preserve">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не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нес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ответственность за последствия выданного Заключения и рекомендаций в случае, если они сделаны на основе документов и информации, полученных от ЗАКАЗЧИКА, содержащих неполные или недостоверные сведения, а также в случае подлога документов.</w:t>
      </w:r>
    </w:p>
    <w:p w:rsidR="00EB29A1" w:rsidRPr="00B114C9" w:rsidRDefault="00EB29A1" w:rsidP="00EB29A1">
      <w:pPr>
        <w:numPr>
          <w:ilvl w:val="1"/>
          <w:numId w:val="16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ИСПОЛНИТЕЛЬ не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нес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ответственности за события, выявившиеся после выдачи Заключения, повлекшие к изменению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отч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тности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как следствие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самого Заключения, если ЗАКАЗЧИК не известил его об этом. </w:t>
      </w:r>
    </w:p>
    <w:p w:rsidR="00EB29A1" w:rsidRPr="00B114C9" w:rsidRDefault="00EB29A1" w:rsidP="00EB29A1">
      <w:pPr>
        <w:numPr>
          <w:ilvl w:val="1"/>
          <w:numId w:val="16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 нарушение обязательств по Договору, виновная сторона несет ответственность, предусмотренную Договором и законодательством Республики Узбекистан.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numPr>
          <w:ilvl w:val="0"/>
          <w:numId w:val="21"/>
        </w:numPr>
        <w:tabs>
          <w:tab w:val="num" w:pos="284"/>
        </w:tabs>
        <w:jc w:val="center"/>
        <w:rPr>
          <w:rFonts w:ascii="Book Antiqua" w:hAnsi="Book Antiqua"/>
          <w:iCs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iCs/>
          <w:color w:val="1F1F1F"/>
          <w:sz w:val="24"/>
          <w:szCs w:val="24"/>
          <w:shd w:val="clear" w:color="auto" w:fill="FFFFFF"/>
        </w:rPr>
        <w:t>ФОРС-МАЖОР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023681" w:rsidRDefault="00EB29A1" w:rsidP="00023681">
      <w:pPr>
        <w:pStyle w:val="a6"/>
        <w:numPr>
          <w:ilvl w:val="1"/>
          <w:numId w:val="23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023681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EB29A1" w:rsidRPr="00023681" w:rsidRDefault="00EB29A1" w:rsidP="00023681">
      <w:pPr>
        <w:pStyle w:val="a6"/>
        <w:numPr>
          <w:ilvl w:val="1"/>
          <w:numId w:val="23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023681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Сторона, для которой создалась невозможность исполнения обязательств по Договору, должна в двухнедельный срок известить другую сторону о наступлении и прекращении обстоятельств, препятствующих исполнению обязательств.</w:t>
      </w:r>
    </w:p>
    <w:p w:rsidR="00EB29A1" w:rsidRPr="00023681" w:rsidRDefault="00EB29A1" w:rsidP="00023681">
      <w:pPr>
        <w:pStyle w:val="a6"/>
        <w:numPr>
          <w:ilvl w:val="1"/>
          <w:numId w:val="23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023681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Надлежащим доказательством наличия форс-мажорных обстоятельств будут служить документы соответствующих организаций.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numPr>
          <w:ilvl w:val="0"/>
          <w:numId w:val="19"/>
        </w:numPr>
        <w:jc w:val="center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color w:val="1F1F1F"/>
          <w:sz w:val="24"/>
          <w:szCs w:val="24"/>
          <w:shd w:val="clear" w:color="auto" w:fill="FFFFFF"/>
        </w:rPr>
        <w:t>СРОК ДЕЙСТВИЯ ДОГОВОРА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numPr>
          <w:ilvl w:val="1"/>
          <w:numId w:val="19"/>
        </w:numPr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Договор вступает в силу с момента его подписания обеими сторонами и действует до выполнения ими всех обязательств по Договору.</w:t>
      </w:r>
    </w:p>
    <w:p w:rsidR="00EB29A1" w:rsidRPr="00B114C9" w:rsidRDefault="00EB29A1" w:rsidP="00EB29A1">
      <w:pPr>
        <w:numPr>
          <w:ilvl w:val="1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При наличии уважительных причин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в любое время выполнения работ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ЗАКАЗЧИК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может расторгнуть Договор, с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уведомлени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ем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ИСПОЛНИТЕЛЯ за 5 рабочих дней, но должен оплатить 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ИСПОЛНИТЕЛЮ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фактически выполненную 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им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часть работы.</w:t>
      </w:r>
    </w:p>
    <w:p w:rsidR="00EB29A1" w:rsidRPr="00B114C9" w:rsidRDefault="00EB29A1" w:rsidP="00EB29A1">
      <w:pPr>
        <w:numPr>
          <w:ilvl w:val="1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Одностороннее расторжение договора по инициативе ИСПОЛНИТЕЛЯ допускается в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случа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ях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 если:</w:t>
      </w:r>
    </w:p>
    <w:p w:rsidR="00EB29A1" w:rsidRPr="00957413" w:rsidRDefault="00EB29A1" w:rsidP="00957413">
      <w:pPr>
        <w:pStyle w:val="a6"/>
        <w:numPr>
          <w:ilvl w:val="2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ЗАКАЗЧИК, несмотря на своевременное и обоснованное предупреждение со стороны ИСПОЛНИТЕЛЯ, не устранил обстоятельств</w:t>
      </w:r>
      <w:r w:rsidR="00644429"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а</w:t>
      </w:r>
      <w:r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, </w:t>
      </w:r>
      <w:r w:rsidR="00644429"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грозящие </w:t>
      </w:r>
      <w:r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качеству выполняемых работ. При этом ИСПОЛНИТЕЛЬ вправе взыскать </w:t>
      </w:r>
      <w:r w:rsidR="00644429"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с ЗАКАЗЧИКА </w:t>
      </w:r>
      <w:r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оплату за фактически выполненные работы.</w:t>
      </w:r>
    </w:p>
    <w:p w:rsidR="00EB29A1" w:rsidRPr="00957413" w:rsidRDefault="00EB29A1" w:rsidP="00957413">
      <w:pPr>
        <w:pStyle w:val="a6"/>
        <w:numPr>
          <w:ilvl w:val="2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lastRenderedPageBreak/>
        <w:t xml:space="preserve">В результате конфликта с ЗАКАЗЧИКОМ по принципиальным соображениям возникла необходимость отказа аудитора от работы </w:t>
      </w:r>
      <w:r w:rsidR="00644429"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для</w:t>
      </w:r>
      <w:r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сохранения независимости и объективности. В этом случае ИСПОЛНИТЕЛЬ вправе взыскать </w:t>
      </w:r>
      <w:r w:rsidR="00644429"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с ЗАКАЗЧИКА </w:t>
      </w:r>
      <w:r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понесенные им убытки.</w:t>
      </w:r>
    </w:p>
    <w:p w:rsidR="00EB29A1" w:rsidRPr="00957413" w:rsidRDefault="00EB29A1" w:rsidP="00957413">
      <w:pPr>
        <w:pStyle w:val="a6"/>
        <w:numPr>
          <w:ilvl w:val="2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ЗАКАЗЧИК не выполняет условия п.2.2.</w:t>
      </w:r>
      <w:r w:rsidR="00644429"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 Д</w:t>
      </w:r>
      <w:r w:rsidRPr="00957413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оговора более 15-ти календарных дней.</w:t>
      </w:r>
    </w:p>
    <w:p w:rsidR="00EB29A1" w:rsidRPr="00B114C9" w:rsidRDefault="00EB29A1" w:rsidP="00EB29A1">
      <w:pPr>
        <w:numPr>
          <w:ilvl w:val="1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В случае необходимости восстановления бухгалтерского учета Заказчиком для получения положительного заключения, ИСПОЛНИТЕЛЬ и ЗАКАЗЧИК вправе продлить срок осуществления работ по Договору. </w:t>
      </w:r>
    </w:p>
    <w:p w:rsidR="00EB29A1" w:rsidRPr="00B114C9" w:rsidRDefault="00EB29A1" w:rsidP="00EB29A1">
      <w:pPr>
        <w:numPr>
          <w:ilvl w:val="1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Если при выдаче ИСПОНИТЕЛЕМ отрицательного аудиторского Заключения, ЗАКАЗЧИК отказывается произвести приемку работ, ИСПОЛНИТЕЛЬ вправе расторгнуть Договор и получить оплату за фактически выполненные работы. В этом случае момент признания выполнения услуг определяется по наличию и переданному ЗАКАЗЧИКУ подписанного ИСПОЛНИТЕЛЕМ аудиторского Заключения и Отчета.</w:t>
      </w:r>
    </w:p>
    <w:p w:rsidR="00EB29A1" w:rsidRPr="00B114C9" w:rsidRDefault="00EB29A1" w:rsidP="00EB29A1">
      <w:pPr>
        <w:numPr>
          <w:ilvl w:val="1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При обнаружении существенных отступлений от условий Договора ИСПОЛНИТЕЛЕМ ЗАКАЗЧИК вправе требовать расторжения Договора. 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numPr>
          <w:ilvl w:val="0"/>
          <w:numId w:val="19"/>
        </w:numPr>
        <w:jc w:val="center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color w:val="1F1F1F"/>
          <w:sz w:val="24"/>
          <w:szCs w:val="24"/>
          <w:shd w:val="clear" w:color="auto" w:fill="FFFFFF"/>
        </w:rPr>
        <w:t>СПЕЦИАЛЬНЫЕ ПОЛОЖЕНИЯ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957413">
      <w:pPr>
        <w:numPr>
          <w:ilvl w:val="1"/>
          <w:numId w:val="20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Во время аудиторской проверки и составления Заключения, аудиторы независимы от ЗАКАЗЧИКА, а также от любой третьей стороны.</w:t>
      </w:r>
    </w:p>
    <w:p w:rsidR="00EB29A1" w:rsidRPr="00B114C9" w:rsidRDefault="00EB29A1" w:rsidP="00957413">
      <w:pPr>
        <w:numPr>
          <w:ilvl w:val="1"/>
          <w:numId w:val="20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Стороны не имеют по отношению друг к другу никаких иных обязательств, кроме как указанных в Договоре. Аудиторская проверка </w:t>
      </w:r>
      <w:r w:rsidRPr="00921B8B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не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включает в себя дополнительные услуги, указанные в статье 17 Закона «Об аудиторской деятельности», а в частности: ревизию финансово-хозяйственной деятельности, восстановление(ведение) бухгалтерского учета; составление финансовой отчетности,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расч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тов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 деклараций по налогам и другим обязательным платежам и пр. Консалтинговые услуги по ведению бухгалтерского 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уч</w:t>
      </w:r>
      <w:r w:rsidR="0064442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64442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та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 налогообложению оказываются ИСПОЛНИТЕЛЕМ только в рамках договора на аудит.</w:t>
      </w:r>
    </w:p>
    <w:p w:rsidR="00EB29A1" w:rsidRPr="00B114C9" w:rsidRDefault="00EB29A1" w:rsidP="00957413">
      <w:pPr>
        <w:numPr>
          <w:ilvl w:val="1"/>
          <w:numId w:val="20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Уплата сумм в виде штрафных санкций не освобождает стороны от выполнения обязательств по Договору. </w:t>
      </w:r>
    </w:p>
    <w:p w:rsidR="00EB29A1" w:rsidRPr="00B114C9" w:rsidRDefault="00EB29A1" w:rsidP="00957413">
      <w:pPr>
        <w:numPr>
          <w:ilvl w:val="1"/>
          <w:numId w:val="20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ИСПОЛНИТЕЛЬ может учитывать предложения ЗАКАЗЧИКА, оставаясь при этом в рамках требований нормативных актов Республики Узбекистан. При этом возражения ЗАКАЗЧИКА против того или иного аудиторского Заключения и отказ аудитора внести соответствующие изменения не могут являться основанием для расторжения Договора. </w:t>
      </w:r>
    </w:p>
    <w:p w:rsidR="00EB29A1" w:rsidRPr="00B114C9" w:rsidRDefault="00EB29A1" w:rsidP="00EB29A1">
      <w:pPr>
        <w:numPr>
          <w:ilvl w:val="1"/>
          <w:numId w:val="20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ИСПОЛНИТЕЛЬ не несет ответственность, связанную с несущественными суммами отклонений финансовой </w:t>
      </w:r>
      <w:r w:rsidR="004D20D4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отч</w:t>
      </w:r>
      <w:r w:rsidR="004D20D4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4D20D4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тности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ЗАКАЗЧИКА.</w:t>
      </w:r>
    </w:p>
    <w:p w:rsidR="00EB29A1" w:rsidRPr="00B114C9" w:rsidRDefault="00EB29A1" w:rsidP="00EB29A1">
      <w:pPr>
        <w:numPr>
          <w:ilvl w:val="1"/>
          <w:numId w:val="20"/>
        </w:numPr>
        <w:tabs>
          <w:tab w:val="clear" w:pos="720"/>
          <w:tab w:val="num" w:pos="0"/>
        </w:tabs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ИСПОЛНИТЕЛЬ не несет ответственности за идентификацию событий, происходящих после подлежащего проверке периода и после составления аудиторского </w:t>
      </w:r>
      <w:r w:rsidR="003162B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отч</w:t>
      </w:r>
      <w:r w:rsidR="003162B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3162B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та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. Если ИСПОЛНИТЕЛЮ станет известно о фактах, существенно меняющих финансовые </w:t>
      </w:r>
      <w:r w:rsidR="003162B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отч</w:t>
      </w:r>
      <w:r w:rsidR="003162B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3162B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ты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 но неизвестных на момент датирования аудиторского Отчета, он может обсудить эти вопросы с ЗАКАЗЧИКОМ и внести изменения в аудиторский Отчет.</w:t>
      </w:r>
    </w:p>
    <w:p w:rsidR="00EB29A1" w:rsidRPr="00B114C9" w:rsidRDefault="00EB29A1" w:rsidP="00EB29A1">
      <w:pPr>
        <w:pStyle w:val="a6"/>
        <w:numPr>
          <w:ilvl w:val="1"/>
          <w:numId w:val="20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ИСПОЛНИТЕЛЬ не несет </w:t>
      </w:r>
      <w:r w:rsidR="003162B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ответственност</w:t>
      </w:r>
      <w:r w:rsidR="003162B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</w:t>
      </w:r>
      <w:r w:rsidR="003162B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за достоверность данных бухгалтерского </w:t>
      </w:r>
      <w:r w:rsidR="003162B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уч</w:t>
      </w:r>
      <w:r w:rsidR="003162B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ё</w:t>
      </w:r>
      <w:r w:rsidR="003162B9"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та 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 отчетности за периоды, не указанные в п.1.2 Договора. Стороны признают, что содержание Договора не подлежит разглашению</w:t>
      </w:r>
      <w:r w:rsidR="003162B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за исключением случаев, предусмотренных действующим законодательством.</w:t>
      </w:r>
    </w:p>
    <w:p w:rsidR="00EB29A1" w:rsidRPr="00B114C9" w:rsidRDefault="00EB29A1" w:rsidP="00EB29A1">
      <w:pPr>
        <w:pStyle w:val="a6"/>
        <w:ind w:left="72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362046">
      <w:pPr>
        <w:numPr>
          <w:ilvl w:val="0"/>
          <w:numId w:val="19"/>
        </w:numPr>
        <w:jc w:val="center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color w:val="1F1F1F"/>
          <w:sz w:val="24"/>
          <w:szCs w:val="24"/>
          <w:shd w:val="clear" w:color="auto" w:fill="FFFFFF"/>
        </w:rPr>
        <w:t>ДОПОЛНИТЕЛЬНЫЕ УСЛОВИЯ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362046" w:rsidRDefault="00EB29A1" w:rsidP="00362046">
      <w:pPr>
        <w:pStyle w:val="a6"/>
        <w:numPr>
          <w:ilvl w:val="1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362046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Все разногласия, которые могут возникнуть в связи с исполнением Договора</w:t>
      </w:r>
      <w:r w:rsidR="003162B9" w:rsidRPr="00362046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,</w:t>
      </w:r>
      <w:r w:rsidRPr="00362046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 xml:space="preserve"> будут разрешаться сторонами путем переговоров. В случае, если стороны не договорятся, то спор или разногласия должны быть разрешены в судебном порядке в соответствии с действующем законодательством.</w:t>
      </w:r>
    </w:p>
    <w:p w:rsidR="00EB29A1" w:rsidRPr="00362046" w:rsidRDefault="00EB29A1" w:rsidP="00362046">
      <w:pPr>
        <w:pStyle w:val="a6"/>
        <w:numPr>
          <w:ilvl w:val="1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362046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Изменения, дополнения и исправления к Договору действительны, если они оформлены в письменной форме и подписаны обеими сторонами.</w:t>
      </w:r>
    </w:p>
    <w:p w:rsidR="00EB29A1" w:rsidRPr="00B114C9" w:rsidRDefault="00EB29A1" w:rsidP="00362046">
      <w:pPr>
        <w:pStyle w:val="a6"/>
        <w:numPr>
          <w:ilvl w:val="1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В случаях, не предусмотренных Договором, стороны руководствуются действующим гражданским законодательством Республики Узбекистан.</w:t>
      </w:r>
    </w:p>
    <w:p w:rsidR="00EB29A1" w:rsidRPr="00B114C9" w:rsidRDefault="00EB29A1" w:rsidP="00362046">
      <w:pPr>
        <w:pStyle w:val="a6"/>
        <w:numPr>
          <w:ilvl w:val="1"/>
          <w:numId w:val="19"/>
        </w:numPr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  <w:t>Договор составлен в двух подлинных экземплярах, по одному для каждой из сторон.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5823FC">
      <w:pPr>
        <w:numPr>
          <w:ilvl w:val="0"/>
          <w:numId w:val="19"/>
        </w:numPr>
        <w:jc w:val="center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color w:val="1F1F1F"/>
          <w:sz w:val="24"/>
          <w:szCs w:val="24"/>
          <w:shd w:val="clear" w:color="auto" w:fill="FFFFFF"/>
        </w:rPr>
        <w:t>ЮРИДИЧЕСКИЕ АДРЕСА И РЕКВИЗИТЫ СТОРОН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678"/>
      </w:tblGrid>
      <w:tr w:rsidR="00EB29A1" w:rsidRPr="00B114C9" w:rsidTr="00845F48">
        <w:trPr>
          <w:trHeight w:val="623"/>
        </w:trPr>
        <w:tc>
          <w:tcPr>
            <w:tcW w:w="4928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  <w:r w:rsidRPr="00B114C9"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  <w:t>ИСПОЛНИТЕЛЬ</w:t>
            </w:r>
          </w:p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  <w:r w:rsidRPr="00B114C9"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  <w:t>ЗАКАЗЧИК</w:t>
            </w:r>
          </w:p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EB29A1" w:rsidRPr="00B114C9" w:rsidTr="00845F48">
        <w:tc>
          <w:tcPr>
            <w:tcW w:w="4928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b w:val="0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EB29A1" w:rsidRPr="00B114C9" w:rsidTr="00845F48">
        <w:tc>
          <w:tcPr>
            <w:tcW w:w="4928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b w:val="0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EB29A1" w:rsidRPr="00B114C9" w:rsidTr="00845F48">
        <w:tc>
          <w:tcPr>
            <w:tcW w:w="4928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b w:val="0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EB29A1" w:rsidRPr="00B114C9" w:rsidTr="00845F48">
        <w:tc>
          <w:tcPr>
            <w:tcW w:w="4928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b w:val="0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EB29A1" w:rsidRPr="00B114C9" w:rsidTr="00845F48">
        <w:tc>
          <w:tcPr>
            <w:tcW w:w="4928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b w:val="0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EB29A1" w:rsidRPr="00B114C9" w:rsidTr="00845F48">
        <w:tc>
          <w:tcPr>
            <w:tcW w:w="4928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b w:val="0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EB29A1" w:rsidRPr="00B114C9" w:rsidTr="00845F48">
        <w:tc>
          <w:tcPr>
            <w:tcW w:w="4928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b w:val="0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EB29A1" w:rsidRPr="00B114C9" w:rsidTr="00845F48">
        <w:tc>
          <w:tcPr>
            <w:tcW w:w="4928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b w:val="0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b w:val="0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29A1" w:rsidRPr="00B114C9" w:rsidTr="00845F48">
        <w:tc>
          <w:tcPr>
            <w:tcW w:w="4928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b w:val="0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b w:val="0"/>
                <w:color w:val="1F1F1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  <w:r w:rsidRPr="00B114C9">
        <w:rPr>
          <w:rFonts w:ascii="Book Antiqua" w:hAnsi="Book Antiqua"/>
          <w:color w:val="1F1F1F"/>
          <w:sz w:val="24"/>
          <w:szCs w:val="24"/>
          <w:shd w:val="clear" w:color="auto" w:fill="FFFFFF"/>
        </w:rPr>
        <w:t>ПОДПИСИ СТОРОН:</w:t>
      </w: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</w:p>
    <w:p w:rsidR="00EB29A1" w:rsidRPr="00B114C9" w:rsidRDefault="00EB29A1" w:rsidP="00EB29A1">
      <w:pPr>
        <w:ind w:left="0" w:firstLine="0"/>
        <w:jc w:val="both"/>
        <w:rPr>
          <w:rFonts w:ascii="Book Antiqua" w:hAnsi="Book Antiqua"/>
          <w:color w:val="1F1F1F"/>
          <w:sz w:val="24"/>
          <w:szCs w:val="24"/>
          <w:shd w:val="clear" w:color="auto" w:fill="FFFFFF"/>
        </w:rPr>
      </w:pPr>
    </w:p>
    <w:tbl>
      <w:tblPr>
        <w:tblStyle w:val="aa"/>
        <w:tblW w:w="96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341"/>
      </w:tblGrid>
      <w:tr w:rsidR="00EB29A1" w:rsidRPr="00B114C9" w:rsidTr="00845F48">
        <w:trPr>
          <w:jc w:val="center"/>
        </w:trPr>
        <w:tc>
          <w:tcPr>
            <w:tcW w:w="4928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  <w:r w:rsidRPr="00B114C9"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  <w:t>От Исполнителя</w:t>
            </w: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1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  <w:r w:rsidRPr="00B114C9"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  <w:t>От Заказчика</w:t>
            </w:r>
          </w:p>
        </w:tc>
      </w:tr>
      <w:tr w:rsidR="00EB29A1" w:rsidRPr="00B114C9" w:rsidTr="00845F48">
        <w:trPr>
          <w:jc w:val="center"/>
        </w:trPr>
        <w:tc>
          <w:tcPr>
            <w:tcW w:w="4928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1" w:type="dxa"/>
            <w:vAlign w:val="center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EB29A1" w:rsidRPr="00B114C9" w:rsidTr="00845F48">
        <w:trPr>
          <w:trHeight w:val="795"/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  <w:tr w:rsidR="00EB29A1" w:rsidRPr="00B114C9" w:rsidTr="00845F48">
        <w:trPr>
          <w:trHeight w:val="419"/>
          <w:jc w:val="center"/>
        </w:trPr>
        <w:tc>
          <w:tcPr>
            <w:tcW w:w="4928" w:type="dxa"/>
            <w:tcBorders>
              <w:top w:val="single" w:sz="4" w:space="0" w:color="auto"/>
            </w:tcBorders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1" w:type="dxa"/>
            <w:tcBorders>
              <w:top w:val="single" w:sz="4" w:space="0" w:color="auto"/>
            </w:tcBorders>
          </w:tcPr>
          <w:p w:rsidR="00EB29A1" w:rsidRPr="00B114C9" w:rsidRDefault="00EB29A1" w:rsidP="00EB29A1">
            <w:pPr>
              <w:ind w:left="0" w:firstLine="0"/>
              <w:jc w:val="both"/>
              <w:rPr>
                <w:rFonts w:ascii="Book Antiqua" w:hAnsi="Book Antiqua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</w:tbl>
    <w:p w:rsidR="0025154F" w:rsidRPr="00B114C9" w:rsidRDefault="0025154F" w:rsidP="00CF7C01">
      <w:pPr>
        <w:ind w:left="0" w:firstLine="0"/>
        <w:jc w:val="both"/>
        <w:rPr>
          <w:rFonts w:ascii="Book Antiqua" w:hAnsi="Book Antiqua"/>
          <w:b w:val="0"/>
          <w:color w:val="1F1F1F"/>
          <w:sz w:val="24"/>
          <w:szCs w:val="24"/>
          <w:shd w:val="clear" w:color="auto" w:fill="FFFFFF"/>
        </w:rPr>
      </w:pPr>
    </w:p>
    <w:sectPr w:rsidR="0025154F" w:rsidRPr="00B114C9" w:rsidSect="00C825E6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0D8" w:rsidRDefault="009530D8" w:rsidP="00023681">
      <w:r>
        <w:separator/>
      </w:r>
    </w:p>
  </w:endnote>
  <w:endnote w:type="continuationSeparator" w:id="0">
    <w:p w:rsidR="009530D8" w:rsidRDefault="009530D8" w:rsidP="0002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0D8" w:rsidRDefault="009530D8" w:rsidP="00023681">
      <w:r>
        <w:separator/>
      </w:r>
    </w:p>
  </w:footnote>
  <w:footnote w:type="continuationSeparator" w:id="0">
    <w:p w:rsidR="009530D8" w:rsidRDefault="009530D8" w:rsidP="0002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CE5"/>
    <w:multiLevelType w:val="multilevel"/>
    <w:tmpl w:val="4C000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832E7"/>
    <w:multiLevelType w:val="hybridMultilevel"/>
    <w:tmpl w:val="0802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3EE"/>
    <w:multiLevelType w:val="multilevel"/>
    <w:tmpl w:val="07B0456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-1352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800" w:hanging="1440"/>
      </w:pPr>
      <w:rPr>
        <w:rFonts w:hint="default"/>
      </w:rPr>
    </w:lvl>
  </w:abstractNum>
  <w:abstractNum w:abstractNumId="3" w15:restartNumberingAfterBreak="0">
    <w:nsid w:val="0F8F212A"/>
    <w:multiLevelType w:val="multilevel"/>
    <w:tmpl w:val="50A8CD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22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800" w:hanging="1440"/>
      </w:pPr>
      <w:rPr>
        <w:rFonts w:hint="default"/>
      </w:rPr>
    </w:lvl>
  </w:abstractNum>
  <w:abstractNum w:abstractNumId="4" w15:restartNumberingAfterBreak="0">
    <w:nsid w:val="17D87C8C"/>
    <w:multiLevelType w:val="multilevel"/>
    <w:tmpl w:val="C2666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i w:val="0"/>
      </w:rPr>
    </w:lvl>
  </w:abstractNum>
  <w:abstractNum w:abstractNumId="5" w15:restartNumberingAfterBreak="0">
    <w:nsid w:val="1A1E1696"/>
    <w:multiLevelType w:val="hybridMultilevel"/>
    <w:tmpl w:val="793A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145B"/>
    <w:multiLevelType w:val="multilevel"/>
    <w:tmpl w:val="4926B0F0"/>
    <w:lvl w:ilvl="0">
      <w:start w:val="4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4F16EFD"/>
    <w:multiLevelType w:val="multilevel"/>
    <w:tmpl w:val="5A7473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825FE6"/>
    <w:multiLevelType w:val="multilevel"/>
    <w:tmpl w:val="C9988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1440"/>
      </w:pPr>
      <w:rPr>
        <w:rFonts w:hint="default"/>
      </w:rPr>
    </w:lvl>
  </w:abstractNum>
  <w:abstractNum w:abstractNumId="9" w15:restartNumberingAfterBreak="0">
    <w:nsid w:val="28341D55"/>
    <w:multiLevelType w:val="hybridMultilevel"/>
    <w:tmpl w:val="2A461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0CAE"/>
    <w:multiLevelType w:val="hybridMultilevel"/>
    <w:tmpl w:val="323E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6B3A"/>
    <w:multiLevelType w:val="hybridMultilevel"/>
    <w:tmpl w:val="D876DF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9B7884"/>
    <w:multiLevelType w:val="multilevel"/>
    <w:tmpl w:val="4C000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D409E9"/>
    <w:multiLevelType w:val="multilevel"/>
    <w:tmpl w:val="E376B132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315A139B"/>
    <w:multiLevelType w:val="multilevel"/>
    <w:tmpl w:val="A830EC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90488F"/>
    <w:multiLevelType w:val="multilevel"/>
    <w:tmpl w:val="905240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00501C"/>
    <w:multiLevelType w:val="hybridMultilevel"/>
    <w:tmpl w:val="ED90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70BAC"/>
    <w:multiLevelType w:val="multilevel"/>
    <w:tmpl w:val="F080DD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3C48F4"/>
    <w:multiLevelType w:val="multilevel"/>
    <w:tmpl w:val="FD5449F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9" w15:restartNumberingAfterBreak="0">
    <w:nsid w:val="3F2936C9"/>
    <w:multiLevelType w:val="multilevel"/>
    <w:tmpl w:val="05D2ADD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427B32"/>
    <w:multiLevelType w:val="hybridMultilevel"/>
    <w:tmpl w:val="15E6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275F9"/>
    <w:multiLevelType w:val="hybridMultilevel"/>
    <w:tmpl w:val="EE745F4A"/>
    <w:lvl w:ilvl="0" w:tplc="878A4F8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2" w15:restartNumberingAfterBreak="0">
    <w:nsid w:val="4A7242AE"/>
    <w:multiLevelType w:val="multilevel"/>
    <w:tmpl w:val="E578E2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3F81507"/>
    <w:multiLevelType w:val="multilevel"/>
    <w:tmpl w:val="E3C82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3A56F9"/>
    <w:multiLevelType w:val="hybridMultilevel"/>
    <w:tmpl w:val="B80A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12347"/>
    <w:multiLevelType w:val="hybridMultilevel"/>
    <w:tmpl w:val="1328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34326"/>
    <w:multiLevelType w:val="multilevel"/>
    <w:tmpl w:val="6D64F9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22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800" w:hanging="1440"/>
      </w:pPr>
      <w:rPr>
        <w:rFonts w:hint="default"/>
      </w:rPr>
    </w:lvl>
  </w:abstractNum>
  <w:abstractNum w:abstractNumId="27" w15:restartNumberingAfterBreak="0">
    <w:nsid w:val="5E750306"/>
    <w:multiLevelType w:val="multilevel"/>
    <w:tmpl w:val="8CBA4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8" w15:restartNumberingAfterBreak="0">
    <w:nsid w:val="689E3122"/>
    <w:multiLevelType w:val="multilevel"/>
    <w:tmpl w:val="AE9AD9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42"/>
        </w:tabs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84"/>
        </w:tabs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8"/>
        </w:tabs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32"/>
        </w:tabs>
        <w:ind w:left="7632" w:hanging="1440"/>
      </w:pPr>
      <w:rPr>
        <w:rFonts w:hint="default"/>
      </w:rPr>
    </w:lvl>
  </w:abstractNum>
  <w:abstractNum w:abstractNumId="29" w15:restartNumberingAfterBreak="0">
    <w:nsid w:val="72FC77C0"/>
    <w:multiLevelType w:val="multilevel"/>
    <w:tmpl w:val="1624C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C20DF8"/>
    <w:multiLevelType w:val="multilevel"/>
    <w:tmpl w:val="B69C16E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31" w15:restartNumberingAfterBreak="0">
    <w:nsid w:val="7D656E0F"/>
    <w:multiLevelType w:val="multilevel"/>
    <w:tmpl w:val="E578E2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30"/>
  </w:num>
  <w:num w:numId="2">
    <w:abstractNumId w:val="27"/>
  </w:num>
  <w:num w:numId="3">
    <w:abstractNumId w:val="4"/>
  </w:num>
  <w:num w:numId="4">
    <w:abstractNumId w:val="8"/>
  </w:num>
  <w:num w:numId="5">
    <w:abstractNumId w:val="26"/>
  </w:num>
  <w:num w:numId="6">
    <w:abstractNumId w:val="3"/>
  </w:num>
  <w:num w:numId="7">
    <w:abstractNumId w:val="2"/>
  </w:num>
  <w:num w:numId="8">
    <w:abstractNumId w:val="28"/>
  </w:num>
  <w:num w:numId="9">
    <w:abstractNumId w:val="29"/>
  </w:num>
  <w:num w:numId="10">
    <w:abstractNumId w:val="5"/>
  </w:num>
  <w:num w:numId="11">
    <w:abstractNumId w:val="20"/>
  </w:num>
  <w:num w:numId="12">
    <w:abstractNumId w:val="24"/>
  </w:num>
  <w:num w:numId="13">
    <w:abstractNumId w:val="1"/>
  </w:num>
  <w:num w:numId="14">
    <w:abstractNumId w:val="23"/>
  </w:num>
  <w:num w:numId="15">
    <w:abstractNumId w:val="17"/>
  </w:num>
  <w:num w:numId="16">
    <w:abstractNumId w:val="7"/>
  </w:num>
  <w:num w:numId="17">
    <w:abstractNumId w:val="18"/>
  </w:num>
  <w:num w:numId="18">
    <w:abstractNumId w:val="6"/>
  </w:num>
  <w:num w:numId="19">
    <w:abstractNumId w:val="22"/>
  </w:num>
  <w:num w:numId="20">
    <w:abstractNumId w:val="15"/>
  </w:num>
  <w:num w:numId="21">
    <w:abstractNumId w:val="13"/>
  </w:num>
  <w:num w:numId="22">
    <w:abstractNumId w:val="9"/>
  </w:num>
  <w:num w:numId="23">
    <w:abstractNumId w:val="14"/>
  </w:num>
  <w:num w:numId="24">
    <w:abstractNumId w:val="11"/>
  </w:num>
  <w:num w:numId="25">
    <w:abstractNumId w:val="0"/>
  </w:num>
  <w:num w:numId="26">
    <w:abstractNumId w:val="16"/>
  </w:num>
  <w:num w:numId="27">
    <w:abstractNumId w:val="12"/>
  </w:num>
  <w:num w:numId="28">
    <w:abstractNumId w:val="19"/>
  </w:num>
  <w:num w:numId="29">
    <w:abstractNumId w:val="25"/>
  </w:num>
  <w:num w:numId="30">
    <w:abstractNumId w:val="10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5C"/>
    <w:rsid w:val="00023681"/>
    <w:rsid w:val="00072BB3"/>
    <w:rsid w:val="000C5717"/>
    <w:rsid w:val="000F17D4"/>
    <w:rsid w:val="00120710"/>
    <w:rsid w:val="001336DE"/>
    <w:rsid w:val="00141EE0"/>
    <w:rsid w:val="00186A91"/>
    <w:rsid w:val="001875F4"/>
    <w:rsid w:val="00191702"/>
    <w:rsid w:val="001E07EE"/>
    <w:rsid w:val="00220039"/>
    <w:rsid w:val="00222724"/>
    <w:rsid w:val="00226C39"/>
    <w:rsid w:val="0025154F"/>
    <w:rsid w:val="00284A5F"/>
    <w:rsid w:val="002F770C"/>
    <w:rsid w:val="003162B9"/>
    <w:rsid w:val="003274BB"/>
    <w:rsid w:val="003410A7"/>
    <w:rsid w:val="00362046"/>
    <w:rsid w:val="00375977"/>
    <w:rsid w:val="0039243F"/>
    <w:rsid w:val="003F39BA"/>
    <w:rsid w:val="0041734D"/>
    <w:rsid w:val="00425C49"/>
    <w:rsid w:val="00430E3F"/>
    <w:rsid w:val="0043474A"/>
    <w:rsid w:val="00434F60"/>
    <w:rsid w:val="004403E6"/>
    <w:rsid w:val="00450F5A"/>
    <w:rsid w:val="00472BFE"/>
    <w:rsid w:val="00497E63"/>
    <w:rsid w:val="004D20D4"/>
    <w:rsid w:val="004F0FB2"/>
    <w:rsid w:val="00505A9F"/>
    <w:rsid w:val="00521DD1"/>
    <w:rsid w:val="005227E3"/>
    <w:rsid w:val="00530255"/>
    <w:rsid w:val="00533BA7"/>
    <w:rsid w:val="005823FC"/>
    <w:rsid w:val="005B3C1C"/>
    <w:rsid w:val="00644429"/>
    <w:rsid w:val="006717C6"/>
    <w:rsid w:val="00695DA3"/>
    <w:rsid w:val="006A307C"/>
    <w:rsid w:val="006C78F8"/>
    <w:rsid w:val="006D21DA"/>
    <w:rsid w:val="006F296E"/>
    <w:rsid w:val="00712806"/>
    <w:rsid w:val="00716753"/>
    <w:rsid w:val="0072575C"/>
    <w:rsid w:val="00764896"/>
    <w:rsid w:val="00764898"/>
    <w:rsid w:val="007A180B"/>
    <w:rsid w:val="007C0607"/>
    <w:rsid w:val="007D0937"/>
    <w:rsid w:val="007D2AB6"/>
    <w:rsid w:val="007F2B88"/>
    <w:rsid w:val="007F6637"/>
    <w:rsid w:val="00831B28"/>
    <w:rsid w:val="00833E2D"/>
    <w:rsid w:val="00837A04"/>
    <w:rsid w:val="00845272"/>
    <w:rsid w:val="00845F48"/>
    <w:rsid w:val="00846FBA"/>
    <w:rsid w:val="0084711D"/>
    <w:rsid w:val="00855BDB"/>
    <w:rsid w:val="008C2E95"/>
    <w:rsid w:val="008E0662"/>
    <w:rsid w:val="0091081D"/>
    <w:rsid w:val="0091711E"/>
    <w:rsid w:val="00921B8B"/>
    <w:rsid w:val="0092268C"/>
    <w:rsid w:val="00945570"/>
    <w:rsid w:val="009530D8"/>
    <w:rsid w:val="00957413"/>
    <w:rsid w:val="00963BAE"/>
    <w:rsid w:val="009725C9"/>
    <w:rsid w:val="009A7133"/>
    <w:rsid w:val="009B3291"/>
    <w:rsid w:val="009B703F"/>
    <w:rsid w:val="00A33148"/>
    <w:rsid w:val="00A460DC"/>
    <w:rsid w:val="00A7059C"/>
    <w:rsid w:val="00A849F5"/>
    <w:rsid w:val="00A943B0"/>
    <w:rsid w:val="00AE0C7B"/>
    <w:rsid w:val="00AE35F9"/>
    <w:rsid w:val="00AE76EE"/>
    <w:rsid w:val="00AF6903"/>
    <w:rsid w:val="00B114C9"/>
    <w:rsid w:val="00B20A99"/>
    <w:rsid w:val="00B21397"/>
    <w:rsid w:val="00B524A3"/>
    <w:rsid w:val="00B64514"/>
    <w:rsid w:val="00B76A5F"/>
    <w:rsid w:val="00B90654"/>
    <w:rsid w:val="00C11493"/>
    <w:rsid w:val="00C1685C"/>
    <w:rsid w:val="00C57BC8"/>
    <w:rsid w:val="00C825E6"/>
    <w:rsid w:val="00CE57CF"/>
    <w:rsid w:val="00CF7C01"/>
    <w:rsid w:val="00E31F93"/>
    <w:rsid w:val="00E37D6A"/>
    <w:rsid w:val="00E41C66"/>
    <w:rsid w:val="00E45B21"/>
    <w:rsid w:val="00E56368"/>
    <w:rsid w:val="00E774FC"/>
    <w:rsid w:val="00EA0F89"/>
    <w:rsid w:val="00EB29A1"/>
    <w:rsid w:val="00F20432"/>
    <w:rsid w:val="00F30D2C"/>
    <w:rsid w:val="00F84572"/>
    <w:rsid w:val="00FB14AF"/>
    <w:rsid w:val="00FE48C5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1E044"/>
  <w15:docId w15:val="{BC1E8824-8173-41E5-80DC-3C6926D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D2C"/>
    <w:pPr>
      <w:spacing w:after="0" w:line="240" w:lineRule="auto"/>
      <w:ind w:left="924" w:hanging="35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D2C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1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30D2C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D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30D2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rsid w:val="00F30D2C"/>
    <w:rPr>
      <w:color w:val="0000FF"/>
      <w:u w:val="single"/>
    </w:rPr>
  </w:style>
  <w:style w:type="paragraph" w:styleId="a4">
    <w:name w:val="Body Text"/>
    <w:basedOn w:val="a"/>
    <w:link w:val="a5"/>
    <w:rsid w:val="00F30D2C"/>
    <w:pPr>
      <w:spacing w:after="120"/>
    </w:pPr>
  </w:style>
  <w:style w:type="character" w:customStyle="1" w:styleId="a5">
    <w:name w:val="Основной текст Знак"/>
    <w:basedOn w:val="a0"/>
    <w:link w:val="a4"/>
    <w:rsid w:val="00F30D2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Знак1"/>
    <w:uiPriority w:val="99"/>
    <w:rsid w:val="00F30D2C"/>
    <w:rPr>
      <w:rFonts w:ascii="Times New Roman" w:hAnsi="Times New Roman" w:cs="Times New Roman"/>
      <w:sz w:val="23"/>
      <w:szCs w:val="23"/>
      <w:u w:val="none"/>
    </w:rPr>
  </w:style>
  <w:style w:type="paragraph" w:styleId="a6">
    <w:name w:val="List Paragraph"/>
    <w:basedOn w:val="a"/>
    <w:link w:val="a7"/>
    <w:uiPriority w:val="34"/>
    <w:qFormat/>
    <w:rsid w:val="00F30D2C"/>
    <w:pPr>
      <w:ind w:left="708"/>
    </w:pPr>
  </w:style>
  <w:style w:type="character" w:customStyle="1" w:styleId="a7">
    <w:name w:val="Абзац списка Знак"/>
    <w:link w:val="a6"/>
    <w:uiPriority w:val="34"/>
    <w:rsid w:val="00F30D2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5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514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a">
    <w:name w:val="Table Grid"/>
    <w:basedOn w:val="a1"/>
    <w:uiPriority w:val="39"/>
    <w:rsid w:val="0025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5154F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1DA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D21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21D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D21DA"/>
    <w:pPr>
      <w:spacing w:after="120" w:line="480" w:lineRule="auto"/>
      <w:ind w:left="0" w:firstLine="0"/>
    </w:pPr>
    <w:rPr>
      <w:rFonts w:ascii="Times New Roman" w:hAnsi="Times New Roman" w:cs="Times New Roman"/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rsid w:val="006D2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521DD1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AE0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5778-6FAE-418E-9CF7-20756D5E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Nafosat</dc:creator>
  <cp:lastModifiedBy>Алексей Анатольевич</cp:lastModifiedBy>
  <cp:revision>4</cp:revision>
  <cp:lastPrinted>2021-05-12T07:35:00Z</cp:lastPrinted>
  <dcterms:created xsi:type="dcterms:W3CDTF">2022-06-23T11:32:00Z</dcterms:created>
  <dcterms:modified xsi:type="dcterms:W3CDTF">2022-06-23T11:49:00Z</dcterms:modified>
</cp:coreProperties>
</file>