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A0" w:rsidRPr="00E4280D" w:rsidRDefault="00E4280D" w:rsidP="00812BA0">
      <w:pPr>
        <w:jc w:val="center"/>
        <w:rPr>
          <w:lang w:val="uz-Latn-UZ"/>
        </w:rPr>
      </w:pPr>
      <w:r>
        <w:rPr>
          <w:b/>
          <w:bCs/>
          <w:lang w:val="uz-Latn-UZ"/>
        </w:rPr>
        <w:t>Пудрат</w:t>
      </w:r>
    </w:p>
    <w:p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r w:rsidR="00373E9A" w:rsidRPr="008E1280">
        <w:rPr>
          <w:lang w:val="uz-Latn-UZ"/>
        </w:rPr>
        <w:t xml:space="preserve"> </w:t>
      </w:r>
    </w:p>
    <w:p w:rsidR="00A550C5" w:rsidRDefault="00A550C5" w:rsidP="00812BA0">
      <w:pPr>
        <w:pStyle w:val="a3"/>
        <w:spacing w:after="60"/>
        <w:ind w:firstLine="708"/>
        <w:outlineLvl w:val="0"/>
        <w:rPr>
          <w:rFonts w:ascii="Times New Roman" w:hAnsi="Times New Roman"/>
          <w:sz w:val="20"/>
          <w:lang w:val="uz-Cyrl-UZ"/>
        </w:rPr>
      </w:pPr>
    </w:p>
    <w:p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w:t>
      </w:r>
      <w:r w:rsidR="00E4280D" w:rsidRPr="008E1280">
        <w:rPr>
          <w:rFonts w:ascii="Times New Roman" w:hAnsi="Times New Roman"/>
          <w:sz w:val="20"/>
          <w:lang w:val="uz-Latn-UZ"/>
        </w:rPr>
        <w:t xml:space="preserve">2  </w:t>
      </w:r>
      <w:r w:rsidR="00B75872">
        <w:rPr>
          <w:rFonts w:ascii="Times New Roman" w:hAnsi="Times New Roman"/>
          <w:sz w:val="20"/>
          <w:lang w:val="uz-Cyrl-UZ"/>
        </w:rPr>
        <w:t xml:space="preserve"> </w:t>
      </w:r>
      <w:r w:rsidRPr="00845C68">
        <w:rPr>
          <w:rFonts w:ascii="Times New Roman" w:hAnsi="Times New Roman"/>
          <w:sz w:val="20"/>
          <w:lang w:val="uz-Cyrl-UZ"/>
        </w:rPr>
        <w:t>й</w:t>
      </w:r>
      <w:r w:rsidR="00F814EB" w:rsidRPr="008E1280">
        <w:rPr>
          <w:rFonts w:ascii="Times New Roman" w:hAnsi="Times New Roman"/>
          <w:sz w:val="20"/>
          <w:lang w:val="uz-Latn-UZ"/>
        </w:rPr>
        <w:t>ил</w:t>
      </w:r>
      <w:r w:rsidR="00373E9A">
        <w:rPr>
          <w:rFonts w:ascii="Times New Roman" w:hAnsi="Times New Roman"/>
          <w:sz w:val="20"/>
          <w:lang w:val="uz-Cyrl-UZ"/>
        </w:rPr>
        <w:t xml:space="preserve"> </w:t>
      </w:r>
      <w:r w:rsidR="00E4280D" w:rsidRPr="008E1280">
        <w:rPr>
          <w:rFonts w:ascii="Times New Roman" w:hAnsi="Times New Roman"/>
          <w:sz w:val="20"/>
          <w:lang w:val="uz-Latn-UZ"/>
        </w:rPr>
        <w:t xml:space="preserve"> </w:t>
      </w:r>
      <w:r w:rsidRPr="00845C68">
        <w:rPr>
          <w:rFonts w:ascii="Times New Roman" w:hAnsi="Times New Roman"/>
          <w:sz w:val="20"/>
          <w:lang w:val="uz-Cyrl-UZ"/>
        </w:rPr>
        <w:t>(Лот №</w:t>
      </w:r>
      <w:r w:rsidR="00997815">
        <w:rPr>
          <w:rFonts w:ascii="Times New Roman" w:hAnsi="Times New Roman"/>
          <w:sz w:val="20"/>
          <w:lang w:val="uz-Cyrl-UZ"/>
        </w:rPr>
        <w:t xml:space="preserve">  </w:t>
      </w:r>
      <w:r w:rsidR="008E1280">
        <w:rPr>
          <w:rFonts w:ascii="Times New Roman" w:hAnsi="Times New Roman"/>
          <w:sz w:val="20"/>
          <w:lang w:val="uz-Cyrl-UZ"/>
        </w:rPr>
        <w:t>_______________________</w:t>
      </w:r>
      <w:r w:rsidR="00997815">
        <w:rPr>
          <w:rFonts w:ascii="Times New Roman" w:hAnsi="Times New Roman"/>
          <w:sz w:val="20"/>
          <w:lang w:val="uz-Cyrl-UZ"/>
        </w:rPr>
        <w:t xml:space="preserve"> </w:t>
      </w:r>
      <w:r w:rsidRPr="00845C68">
        <w:rPr>
          <w:rFonts w:ascii="Times New Roman" w:hAnsi="Times New Roman"/>
          <w:sz w:val="20"/>
          <w:lang w:val="uz-Cyrl-UZ"/>
        </w:rPr>
        <w:t>)</w:t>
      </w:r>
    </w:p>
    <w:p w:rsidR="00812BA0" w:rsidRPr="005F7ABF" w:rsidRDefault="00812BA0" w:rsidP="00812BA0">
      <w:pPr>
        <w:rPr>
          <w:b/>
          <w:sz w:val="16"/>
          <w:szCs w:val="16"/>
          <w:lang w:val="uz-Cyrl-UZ"/>
        </w:rPr>
      </w:pPr>
    </w:p>
    <w:p w:rsidR="00812BA0" w:rsidRPr="002C26F0" w:rsidRDefault="008E1280" w:rsidP="00812BA0">
      <w:pPr>
        <w:shd w:val="clear" w:color="auto" w:fill="FFFFFF"/>
        <w:spacing w:line="278" w:lineRule="exact"/>
        <w:ind w:right="29" w:firstLine="708"/>
        <w:jc w:val="both"/>
        <w:rPr>
          <w:rFonts w:ascii="Arial Black" w:hAnsi="Arial Black"/>
          <w:sz w:val="20"/>
          <w:szCs w:val="20"/>
          <w:lang w:val="uz-Cyrl-UZ"/>
        </w:rPr>
      </w:pPr>
      <w:r>
        <w:rPr>
          <w:color w:val="000000"/>
          <w:lang w:val="uz-Cyrl-UZ"/>
        </w:rPr>
        <w:t>____________________________</w:t>
      </w:r>
      <w:r w:rsidR="000A7892">
        <w:rPr>
          <w:sz w:val="18"/>
          <w:szCs w:val="18"/>
          <w:lang w:val="uz-Cyrl-UZ"/>
        </w:rPr>
        <w:t xml:space="preserve">  </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Pr>
          <w:sz w:val="20"/>
          <w:szCs w:val="20"/>
          <w:lang w:val="uz-Cyrl-UZ"/>
        </w:rPr>
        <w:t>__________________</w:t>
      </w:r>
      <w:r w:rsidR="00373E9A">
        <w:rPr>
          <w:b/>
          <w:sz w:val="20"/>
          <w:szCs w:val="20"/>
          <w:lang w:val="uz-Cyrl-UZ"/>
        </w:rPr>
        <w:t xml:space="preserve"> </w:t>
      </w:r>
      <w:r w:rsidR="00812BA0" w:rsidRPr="002C26F0">
        <w:rPr>
          <w:sz w:val="20"/>
          <w:szCs w:val="20"/>
          <w:lang w:val="uz-Cyrl-UZ"/>
        </w:rPr>
        <w:t xml:space="preserve">номидан, бир томондан ва </w:t>
      </w:r>
      <w:r w:rsidR="00E4280D" w:rsidRPr="00E4280D">
        <w:rPr>
          <w:sz w:val="20"/>
          <w:szCs w:val="20"/>
          <w:lang w:val="uz-Cyrl-UZ"/>
        </w:rPr>
        <w:t xml:space="preserve"> </w:t>
      </w:r>
      <w:r>
        <w:rPr>
          <w:sz w:val="20"/>
          <w:szCs w:val="20"/>
          <w:lang w:val="uz-Cyrl-UZ"/>
        </w:rPr>
        <w:t>________________________</w:t>
      </w:r>
      <w:r w:rsidR="00E4280D" w:rsidRPr="00E4280D">
        <w:rPr>
          <w:sz w:val="20"/>
          <w:szCs w:val="20"/>
          <w:lang w:val="uz-Cyrl-UZ"/>
        </w:rPr>
        <w:t xml:space="preserve"> </w:t>
      </w:r>
      <w:r w:rsidR="00812BA0" w:rsidRPr="002C26F0">
        <w:rPr>
          <w:sz w:val="20"/>
          <w:szCs w:val="20"/>
          <w:lang w:val="uz-Cyrl-UZ"/>
        </w:rPr>
        <w:t xml:space="preserve">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00F814EB">
        <w:rPr>
          <w:sz w:val="20"/>
          <w:szCs w:val="20"/>
          <w:lang w:val="uz-Cyrl-UZ"/>
        </w:rPr>
        <w:t xml:space="preserve"> </w:t>
      </w:r>
      <w:r>
        <w:rPr>
          <w:sz w:val="20"/>
          <w:szCs w:val="20"/>
          <w:lang w:val="uz-Cyrl-UZ"/>
        </w:rPr>
        <w:t>____________</w:t>
      </w:r>
      <w:r w:rsidR="00F814EB">
        <w:rPr>
          <w:sz w:val="20"/>
          <w:szCs w:val="20"/>
          <w:lang w:val="uz-Cyrl-UZ"/>
        </w:rPr>
        <w:t xml:space="preserve"> </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F814EB">
        <w:rPr>
          <w:b/>
          <w:sz w:val="18"/>
          <w:szCs w:val="18"/>
          <w:lang w:val="uz-Cyrl-UZ"/>
        </w:rPr>
        <w:t>Избоскан туман 11 МТТ</w:t>
      </w:r>
      <w:r w:rsidR="000A7892">
        <w:rPr>
          <w:b/>
          <w:sz w:val="18"/>
          <w:szCs w:val="18"/>
          <w:lang w:val="uz-Cyrl-UZ"/>
        </w:rPr>
        <w:t xml:space="preserve"> </w:t>
      </w:r>
      <w:r w:rsidR="00373E9A">
        <w:rPr>
          <w:b/>
          <w:sz w:val="18"/>
          <w:szCs w:val="18"/>
          <w:lang w:val="uz-Cyrl-UZ"/>
        </w:rPr>
        <w:t xml:space="preserve"> </w:t>
      </w:r>
      <w:r w:rsidR="00F814EB">
        <w:rPr>
          <w:sz w:val="18"/>
          <w:szCs w:val="18"/>
          <w:lang w:val="uz-Cyrl-UZ"/>
        </w:rPr>
        <w:t>биноси хожатхонаси</w:t>
      </w:r>
      <w:r w:rsidR="00373E9A">
        <w:rPr>
          <w:sz w:val="18"/>
          <w:szCs w:val="18"/>
          <w:lang w:val="uz-Cyrl-UZ"/>
        </w:rPr>
        <w:t xml:space="preserve"> </w:t>
      </w:r>
      <w:r w:rsidR="00F814EB" w:rsidRPr="00F814EB">
        <w:rPr>
          <w:sz w:val="18"/>
          <w:szCs w:val="18"/>
          <w:lang w:val="uz-Cyrl-UZ"/>
        </w:rPr>
        <w:t xml:space="preserve">мукаммал таъмирлаш </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3951"/>
        <w:gridCol w:w="1843"/>
        <w:gridCol w:w="3402"/>
      </w:tblGrid>
      <w:tr w:rsidR="00812BA0" w:rsidRPr="005F7ABF"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rPr>
              <w:t>№</w:t>
            </w:r>
          </w:p>
        </w:tc>
        <w:tc>
          <w:tcPr>
            <w:tcW w:w="3951"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lang w:val="uz-Cyrl-UZ"/>
              </w:rPr>
              <w:t>Ишнинг номи</w:t>
            </w:r>
          </w:p>
        </w:tc>
        <w:tc>
          <w:tcPr>
            <w:tcW w:w="1843"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402"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ind w:left="360" w:hanging="326"/>
              <w:jc w:val="center"/>
              <w:rPr>
                <w:iCs/>
                <w:sz w:val="20"/>
                <w:szCs w:val="20"/>
              </w:rPr>
            </w:pPr>
            <w:r w:rsidRPr="000639E7">
              <w:rPr>
                <w:iCs/>
                <w:sz w:val="20"/>
                <w:szCs w:val="20"/>
              </w:rPr>
              <w:t>1</w:t>
            </w:r>
          </w:p>
        </w:tc>
        <w:tc>
          <w:tcPr>
            <w:tcW w:w="3951" w:type="dxa"/>
            <w:tcBorders>
              <w:top w:val="single" w:sz="4" w:space="0" w:color="auto"/>
              <w:left w:val="single" w:sz="4" w:space="0" w:color="auto"/>
              <w:bottom w:val="single" w:sz="4" w:space="0" w:color="auto"/>
              <w:right w:val="single" w:sz="4" w:space="0" w:color="auto"/>
            </w:tcBorders>
            <w:vAlign w:val="center"/>
          </w:tcPr>
          <w:p w:rsidR="00812BA0" w:rsidRPr="00771001" w:rsidRDefault="00812BA0" w:rsidP="00A550C5">
            <w:pPr>
              <w:jc w:val="center"/>
              <w:rPr>
                <w:iCs/>
                <w:sz w:val="20"/>
                <w:szCs w:val="20"/>
                <w:lang w:val="uz-Cyrl-UZ"/>
              </w:rPr>
            </w:pPr>
          </w:p>
        </w:tc>
        <w:tc>
          <w:tcPr>
            <w:tcW w:w="1843" w:type="dxa"/>
            <w:tcBorders>
              <w:top w:val="single" w:sz="4" w:space="0" w:color="auto"/>
              <w:left w:val="single" w:sz="4" w:space="0" w:color="auto"/>
              <w:bottom w:val="single" w:sz="4" w:space="0" w:color="auto"/>
              <w:right w:val="single" w:sz="4" w:space="0" w:color="auto"/>
            </w:tcBorders>
          </w:tcPr>
          <w:p w:rsidR="00812BA0" w:rsidRPr="00CC40D5" w:rsidRDefault="00812BA0" w:rsidP="00A550C5">
            <w:pPr>
              <w:spacing w:line="360" w:lineRule="auto"/>
              <w:rPr>
                <w:iCs/>
                <w:color w:val="000000" w:themeColor="text1"/>
                <w:sz w:val="20"/>
                <w:szCs w:val="20"/>
                <w:lang w:val="uz-Cyrl-UZ"/>
              </w:rPr>
            </w:pPr>
          </w:p>
        </w:tc>
        <w:tc>
          <w:tcPr>
            <w:tcW w:w="3402" w:type="dxa"/>
            <w:tcBorders>
              <w:top w:val="single" w:sz="4" w:space="0" w:color="auto"/>
              <w:left w:val="single" w:sz="4" w:space="0" w:color="auto"/>
              <w:bottom w:val="single" w:sz="4" w:space="0" w:color="auto"/>
              <w:right w:val="single" w:sz="4" w:space="0" w:color="auto"/>
            </w:tcBorders>
            <w:vAlign w:val="center"/>
          </w:tcPr>
          <w:p w:rsidR="00812BA0" w:rsidRPr="000A7892" w:rsidRDefault="00812BA0" w:rsidP="005A55EC">
            <w:pPr>
              <w:spacing w:line="360" w:lineRule="auto"/>
              <w:jc w:val="center"/>
              <w:rPr>
                <w:iCs/>
                <w:color w:val="000000" w:themeColor="text1"/>
                <w:sz w:val="20"/>
                <w:szCs w:val="20"/>
                <w:lang w:val="uz-Cyrl-UZ"/>
              </w:rPr>
            </w:pPr>
          </w:p>
        </w:tc>
      </w:tr>
      <w:tr w:rsidR="000A7892" w:rsidRPr="005F7ABF"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3951"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0A7892" w:rsidRPr="00CC40D5" w:rsidRDefault="000A7892" w:rsidP="00FE7668">
            <w:pPr>
              <w:spacing w:line="360" w:lineRule="auto"/>
              <w:jc w:val="center"/>
              <w:rPr>
                <w:iCs/>
                <w:color w:val="000000" w:themeColor="text1"/>
                <w:sz w:val="20"/>
                <w:szCs w:val="20"/>
                <w:lang w:val="uz-Cyrl-UZ"/>
              </w:rPr>
            </w:pPr>
          </w:p>
        </w:tc>
        <w:tc>
          <w:tcPr>
            <w:tcW w:w="3402" w:type="dxa"/>
            <w:tcBorders>
              <w:top w:val="single" w:sz="4" w:space="0" w:color="auto"/>
              <w:left w:val="single" w:sz="4" w:space="0" w:color="auto"/>
              <w:bottom w:val="single" w:sz="4" w:space="0" w:color="auto"/>
              <w:right w:val="single" w:sz="4" w:space="0" w:color="auto"/>
            </w:tcBorders>
            <w:vAlign w:val="center"/>
          </w:tcPr>
          <w:p w:rsidR="000A7892" w:rsidRPr="000A7892" w:rsidRDefault="000A7892" w:rsidP="00FE7668">
            <w:pPr>
              <w:spacing w:line="360" w:lineRule="auto"/>
              <w:jc w:val="center"/>
              <w:rPr>
                <w:iCs/>
                <w:color w:val="000000" w:themeColor="text1"/>
                <w:sz w:val="20"/>
                <w:szCs w:val="20"/>
                <w:lang w:val="uz-Cyrl-UZ"/>
              </w:rPr>
            </w:pPr>
          </w:p>
        </w:tc>
      </w:tr>
    </w:tbl>
    <w:p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w:t>
      </w:r>
      <w:r w:rsidR="00B75872">
        <w:rPr>
          <w:sz w:val="20"/>
          <w:szCs w:val="20"/>
          <w:lang w:val="uz-Cyrl-UZ"/>
        </w:rPr>
        <w:t xml:space="preserve"> </w:t>
      </w:r>
      <w:r w:rsidRPr="002C26F0">
        <w:rPr>
          <w:sz w:val="20"/>
          <w:szCs w:val="20"/>
          <w:lang w:val="uz-Latn-UZ"/>
        </w:rPr>
        <w:t>суммаси</w:t>
      </w:r>
      <w:r w:rsidR="00B75872">
        <w:rPr>
          <w:sz w:val="20"/>
          <w:szCs w:val="20"/>
          <w:lang w:val="uz-Cyrl-UZ"/>
        </w:rPr>
        <w:t xml:space="preserve"> </w:t>
      </w:r>
      <w:r w:rsidR="008E1280">
        <w:rPr>
          <w:sz w:val="20"/>
          <w:szCs w:val="20"/>
          <w:lang w:val="uz-Cyrl-UZ"/>
        </w:rPr>
        <w:t>______________</w:t>
      </w:r>
      <w:r w:rsidR="00771001">
        <w:rPr>
          <w:sz w:val="20"/>
          <w:szCs w:val="20"/>
          <w:lang w:val="uz-Cyrl-UZ"/>
        </w:rPr>
        <w:t xml:space="preserve"> </w:t>
      </w:r>
      <w:r w:rsidRPr="002C26F0">
        <w:rPr>
          <w:iCs/>
          <w:sz w:val="20"/>
          <w:szCs w:val="20"/>
        </w:rPr>
        <w:t>(</w:t>
      </w:r>
      <w:r w:rsidR="008E1280">
        <w:rPr>
          <w:iCs/>
          <w:sz w:val="20"/>
          <w:szCs w:val="20"/>
          <w:lang w:val="uz-Cyrl-UZ"/>
        </w:rPr>
        <w:t>_________________________________</w:t>
      </w:r>
      <w:r>
        <w:rPr>
          <w:iCs/>
          <w:sz w:val="20"/>
          <w:szCs w:val="20"/>
          <w:lang w:val="uz-Cyrl-UZ"/>
        </w:rPr>
        <w:t xml:space="preserve">) </w:t>
      </w:r>
      <w:r w:rsidRPr="002C26F0">
        <w:rPr>
          <w:sz w:val="20"/>
          <w:szCs w:val="20"/>
          <w:lang w:val="uz-Latn-UZ"/>
        </w:rPr>
        <w:t>сўмни ташкил қилади</w:t>
      </w:r>
    </w:p>
    <w:p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997815">
        <w:rPr>
          <w:rFonts w:ascii="Times New Roman" w:hAnsi="Times New Roman"/>
          <w:b w:val="0"/>
          <w:sz w:val="20"/>
          <w:lang w:val="uz-Cyrl-UZ"/>
        </w:rPr>
        <w:t xml:space="preserve"> </w:t>
      </w:r>
      <w:r w:rsidR="008E1280">
        <w:rPr>
          <w:rFonts w:ascii="Times New Roman" w:hAnsi="Times New Roman"/>
          <w:b w:val="0"/>
          <w:sz w:val="20"/>
          <w:lang w:val="uz-Cyrl-UZ"/>
        </w:rPr>
        <w:t>__</w:t>
      </w:r>
      <w:r w:rsidRPr="002C26F0">
        <w:rPr>
          <w:rFonts w:ascii="Times New Roman" w:hAnsi="Times New Roman"/>
          <w:b w:val="0"/>
          <w:sz w:val="20"/>
          <w:lang w:val="uz-Cyrl-UZ"/>
        </w:rPr>
        <w:t>”</w:t>
      </w:r>
      <w:r w:rsidR="008E1280">
        <w:rPr>
          <w:rFonts w:ascii="Times New Roman" w:hAnsi="Times New Roman"/>
          <w:b w:val="0"/>
          <w:sz w:val="20"/>
          <w:lang w:val="uz-Cyrl-UZ"/>
        </w:rPr>
        <w:t>_______</w:t>
      </w:r>
      <w:r w:rsidR="00771001">
        <w:rPr>
          <w:rFonts w:ascii="Times New Roman" w:hAnsi="Times New Roman"/>
          <w:b w:val="0"/>
          <w:sz w:val="20"/>
          <w:lang w:val="uz-Cyrl-UZ"/>
        </w:rPr>
        <w:t xml:space="preserve"> </w:t>
      </w:r>
      <w:r w:rsidR="00B75872">
        <w:rPr>
          <w:rFonts w:ascii="Times New Roman" w:hAnsi="Times New Roman"/>
          <w:b w:val="0"/>
          <w:sz w:val="20"/>
          <w:lang w:val="uz-Cyrl-UZ"/>
        </w:rPr>
        <w:t xml:space="preserve">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00B75872">
        <w:rPr>
          <w:rFonts w:ascii="Times New Roman" w:hAnsi="Times New Roman"/>
          <w:b w:val="0"/>
          <w:sz w:val="20"/>
          <w:lang w:val="uz-Cyrl-UZ"/>
        </w:rPr>
        <w:t xml:space="preserve"> </w:t>
      </w:r>
      <w:r w:rsidRPr="002C26F0">
        <w:rPr>
          <w:rFonts w:ascii="Times New Roman" w:hAnsi="Times New Roman"/>
          <w:b w:val="0"/>
          <w:sz w:val="20"/>
          <w:lang w:val="uz-Cyrl-UZ"/>
        </w:rPr>
        <w:t>й</w:t>
      </w:r>
      <w:r>
        <w:rPr>
          <w:rFonts w:ascii="Times New Roman" w:hAnsi="Times New Roman"/>
          <w:b w:val="0"/>
          <w:sz w:val="20"/>
          <w:lang w:val="uz-Cyrl-UZ"/>
        </w:rPr>
        <w:t>ил,</w:t>
      </w:r>
      <w:r w:rsidR="00B75872">
        <w:rPr>
          <w:rFonts w:ascii="Times New Roman" w:hAnsi="Times New Roman"/>
          <w:b w:val="0"/>
          <w:sz w:val="20"/>
          <w:lang w:val="uz-Cyrl-UZ"/>
        </w:rPr>
        <w:t xml:space="preserve"> </w:t>
      </w:r>
      <w:r>
        <w:rPr>
          <w:rFonts w:ascii="Times New Roman" w:hAnsi="Times New Roman"/>
          <w:b w:val="0"/>
          <w:sz w:val="20"/>
          <w:lang w:val="uz-Cyrl-UZ"/>
        </w:rPr>
        <w:t>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II. ТОМОНЛАРНИНГ</w:t>
      </w:r>
    </w:p>
    <w:p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812BA0" w:rsidRPr="002C26F0" w:rsidRDefault="00812BA0" w:rsidP="00812BA0">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нинг</w:t>
      </w:r>
      <w:proofErr w:type="spellEnd"/>
      <w:r w:rsidR="00B75872">
        <w:rPr>
          <w:sz w:val="20"/>
          <w:szCs w:val="20"/>
          <w:lang w:val="uz-Cyrl-UZ"/>
        </w:rPr>
        <w:t xml:space="preserve"> </w:t>
      </w:r>
      <w:proofErr w:type="spellStart"/>
      <w:r w:rsidRPr="002C26F0">
        <w:rPr>
          <w:sz w:val="20"/>
          <w:szCs w:val="20"/>
        </w:rPr>
        <w:t>ҳисобига</w:t>
      </w:r>
      <w:proofErr w:type="spellEnd"/>
      <w:r w:rsidR="00B75872">
        <w:rPr>
          <w:sz w:val="20"/>
          <w:szCs w:val="20"/>
          <w:lang w:val="uz-Cyrl-UZ"/>
        </w:rPr>
        <w:t xml:space="preserve"> </w:t>
      </w:r>
      <w:proofErr w:type="spellStart"/>
      <w:r w:rsidRPr="002C26F0">
        <w:rPr>
          <w:sz w:val="20"/>
          <w:szCs w:val="20"/>
        </w:rPr>
        <w:t>транспортда</w:t>
      </w:r>
      <w:proofErr w:type="spellEnd"/>
      <w:r w:rsidR="00B75872">
        <w:rPr>
          <w:sz w:val="20"/>
          <w:szCs w:val="20"/>
          <w:lang w:val="uz-Cyrl-UZ"/>
        </w:rPr>
        <w:t xml:space="preserve"> </w:t>
      </w:r>
      <w:proofErr w:type="spellStart"/>
      <w:r w:rsidRPr="002C26F0">
        <w:rPr>
          <w:sz w:val="20"/>
          <w:szCs w:val="20"/>
        </w:rPr>
        <w:t>ташилганда</w:t>
      </w:r>
      <w:proofErr w:type="spellEnd"/>
      <w:r w:rsidRPr="002C26F0">
        <w:rPr>
          <w:sz w:val="20"/>
          <w:szCs w:val="20"/>
        </w:rPr>
        <w:t xml:space="preserve"> транспорт </w:t>
      </w:r>
      <w:proofErr w:type="spellStart"/>
      <w:r w:rsidRPr="002C26F0">
        <w:rPr>
          <w:sz w:val="20"/>
          <w:szCs w:val="20"/>
        </w:rPr>
        <w:t>харажатларини</w:t>
      </w:r>
      <w:proofErr w:type="spellEnd"/>
      <w:r w:rsidR="00B75872">
        <w:rPr>
          <w:sz w:val="20"/>
          <w:szCs w:val="20"/>
          <w:lang w:val="uz-Cyrl-UZ"/>
        </w:rPr>
        <w:t xml:space="preserve"> </w:t>
      </w:r>
      <w:proofErr w:type="spellStart"/>
      <w:r w:rsidRPr="002C26F0">
        <w:rPr>
          <w:sz w:val="20"/>
          <w:szCs w:val="20"/>
        </w:rPr>
        <w:t>қоплашни</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B75872" w:rsidP="00812BA0">
      <w:pPr>
        <w:jc w:val="both"/>
        <w:rPr>
          <w:sz w:val="20"/>
          <w:szCs w:val="20"/>
        </w:rPr>
      </w:pPr>
      <w:r>
        <w:rPr>
          <w:sz w:val="20"/>
          <w:szCs w:val="20"/>
        </w:rPr>
        <w:t>2.1.3.</w:t>
      </w:r>
      <w:r w:rsidR="00812BA0" w:rsidRPr="002C26F0">
        <w:rPr>
          <w:sz w:val="20"/>
          <w:szCs w:val="20"/>
        </w:rPr>
        <w:t>"Бажарувчи</w:t>
      </w:r>
      <w:proofErr w:type="gramStart"/>
      <w:r w:rsidR="00812BA0" w:rsidRPr="002C26F0">
        <w:rPr>
          <w:sz w:val="20"/>
          <w:szCs w:val="20"/>
        </w:rPr>
        <w:t>"д</w:t>
      </w:r>
      <w:proofErr w:type="gramEnd"/>
      <w:r w:rsidR="00812BA0" w:rsidRPr="002C26F0">
        <w:rPr>
          <w:sz w:val="20"/>
          <w:szCs w:val="20"/>
        </w:rPr>
        <w:t>ан</w:t>
      </w:r>
      <w:r>
        <w:rPr>
          <w:sz w:val="20"/>
          <w:szCs w:val="20"/>
          <w:lang w:val="uz-Cyrl-UZ"/>
        </w:rPr>
        <w:t xml:space="preserve"> </w:t>
      </w:r>
      <w:proofErr w:type="spellStart"/>
      <w:r w:rsidR="00812BA0" w:rsidRPr="002C26F0">
        <w:rPr>
          <w:sz w:val="20"/>
          <w:szCs w:val="20"/>
        </w:rPr>
        <w:t>мазкур</w:t>
      </w:r>
      <w:proofErr w:type="spellEnd"/>
      <w:r>
        <w:rPr>
          <w:sz w:val="20"/>
          <w:szCs w:val="20"/>
          <w:lang w:val="uz-Cyrl-UZ"/>
        </w:rPr>
        <w:t xml:space="preserve"> </w:t>
      </w:r>
      <w:proofErr w:type="spellStart"/>
      <w:r w:rsidR="00812BA0" w:rsidRPr="002C26F0">
        <w:rPr>
          <w:sz w:val="20"/>
          <w:szCs w:val="20"/>
        </w:rPr>
        <w:t>шартномага</w:t>
      </w:r>
      <w:proofErr w:type="spellEnd"/>
      <w:r>
        <w:rPr>
          <w:sz w:val="20"/>
          <w:szCs w:val="20"/>
          <w:lang w:val="uz-Cyrl-UZ"/>
        </w:rPr>
        <w:t xml:space="preserve"> </w:t>
      </w:r>
      <w:proofErr w:type="spellStart"/>
      <w:r>
        <w:rPr>
          <w:sz w:val="20"/>
          <w:szCs w:val="20"/>
        </w:rPr>
        <w:t>мувофиқ</w:t>
      </w:r>
      <w:proofErr w:type="spellEnd"/>
      <w:r>
        <w:rPr>
          <w:sz w:val="20"/>
          <w:szCs w:val="20"/>
        </w:rPr>
        <w:t xml:space="preserve">, </w:t>
      </w:r>
      <w:proofErr w:type="spellStart"/>
      <w:r>
        <w:rPr>
          <w:sz w:val="20"/>
          <w:szCs w:val="20"/>
        </w:rPr>
        <w:t>бажариладиган</w:t>
      </w:r>
      <w:proofErr w:type="spellEnd"/>
      <w:r>
        <w:rPr>
          <w:sz w:val="20"/>
          <w:szCs w:val="20"/>
        </w:rPr>
        <w:t xml:space="preserve"> «</w:t>
      </w:r>
      <w:proofErr w:type="spellStart"/>
      <w:r>
        <w:rPr>
          <w:sz w:val="20"/>
          <w:szCs w:val="20"/>
        </w:rPr>
        <w:t>Ишлар»</w:t>
      </w:r>
      <w:r w:rsidR="00812BA0" w:rsidRPr="002C26F0">
        <w:rPr>
          <w:sz w:val="20"/>
          <w:szCs w:val="20"/>
        </w:rPr>
        <w:t>ни</w:t>
      </w:r>
      <w:proofErr w:type="spellEnd"/>
      <w:r w:rsidR="00812BA0" w:rsidRPr="002C26F0">
        <w:rPr>
          <w:sz w:val="20"/>
          <w:szCs w:val="20"/>
        </w:rPr>
        <w:t xml:space="preserve"> </w:t>
      </w:r>
      <w:proofErr w:type="spellStart"/>
      <w:r w:rsidR="00812BA0" w:rsidRPr="002C26F0">
        <w:rPr>
          <w:sz w:val="20"/>
          <w:szCs w:val="20"/>
        </w:rPr>
        <w:t>нуксон</w:t>
      </w:r>
      <w:proofErr w:type="spellEnd"/>
      <w:r>
        <w:rPr>
          <w:sz w:val="20"/>
          <w:szCs w:val="20"/>
          <w:lang w:val="uz-Cyrl-UZ"/>
        </w:rPr>
        <w:t xml:space="preserve"> </w:t>
      </w:r>
      <w:proofErr w:type="spellStart"/>
      <w:r w:rsidR="00812BA0" w:rsidRPr="002C26F0">
        <w:rPr>
          <w:sz w:val="20"/>
          <w:szCs w:val="20"/>
        </w:rPr>
        <w:t>далолатномасига</w:t>
      </w:r>
      <w:proofErr w:type="spellEnd"/>
      <w:r>
        <w:rPr>
          <w:sz w:val="20"/>
          <w:szCs w:val="20"/>
          <w:lang w:val="uz-Cyrl-UZ"/>
        </w:rPr>
        <w:t xml:space="preserve"> </w:t>
      </w:r>
      <w:proofErr w:type="spellStart"/>
      <w:r w:rsidR="00812BA0" w:rsidRPr="002C26F0">
        <w:rPr>
          <w:sz w:val="20"/>
          <w:szCs w:val="20"/>
        </w:rPr>
        <w:t>мувофиқ</w:t>
      </w:r>
      <w:proofErr w:type="spellEnd"/>
      <w:r>
        <w:rPr>
          <w:sz w:val="20"/>
          <w:szCs w:val="20"/>
          <w:lang w:val="uz-Cyrl-UZ"/>
        </w:rPr>
        <w:t xml:space="preserve"> </w:t>
      </w:r>
      <w:proofErr w:type="spellStart"/>
      <w:r w:rsidR="00812BA0" w:rsidRPr="002C26F0">
        <w:rPr>
          <w:sz w:val="20"/>
          <w:szCs w:val="20"/>
        </w:rPr>
        <w:t>тегишли</w:t>
      </w:r>
      <w:proofErr w:type="spellEnd"/>
      <w:r>
        <w:rPr>
          <w:sz w:val="20"/>
          <w:szCs w:val="20"/>
          <w:lang w:val="uz-Cyrl-UZ"/>
        </w:rPr>
        <w:t xml:space="preserve"> </w:t>
      </w:r>
      <w:proofErr w:type="spellStart"/>
      <w:r w:rsidR="00812BA0" w:rsidRPr="002C26F0">
        <w:rPr>
          <w:sz w:val="20"/>
          <w:szCs w:val="20"/>
        </w:rPr>
        <w:t>сифатга</w:t>
      </w:r>
      <w:proofErr w:type="spellEnd"/>
      <w:r>
        <w:rPr>
          <w:sz w:val="20"/>
          <w:szCs w:val="20"/>
          <w:lang w:val="uz-Cyrl-UZ"/>
        </w:rPr>
        <w:t xml:space="preserve"> </w:t>
      </w:r>
      <w:proofErr w:type="spellStart"/>
      <w:r w:rsidR="00812BA0" w:rsidRPr="002C26F0">
        <w:rPr>
          <w:sz w:val="20"/>
          <w:szCs w:val="20"/>
        </w:rPr>
        <w:t>эга</w:t>
      </w:r>
      <w:proofErr w:type="spellEnd"/>
      <w:r>
        <w:rPr>
          <w:sz w:val="20"/>
          <w:szCs w:val="20"/>
          <w:lang w:val="uz-Cyrl-UZ"/>
        </w:rPr>
        <w:t xml:space="preserve"> </w:t>
      </w:r>
      <w:proofErr w:type="spellStart"/>
      <w:r w:rsidR="00812BA0" w:rsidRPr="002C26F0">
        <w:rPr>
          <w:sz w:val="20"/>
          <w:szCs w:val="20"/>
        </w:rPr>
        <w:t>бўлган</w:t>
      </w:r>
      <w:proofErr w:type="spellEnd"/>
      <w:r w:rsidR="00812BA0" w:rsidRPr="002C26F0">
        <w:rPr>
          <w:sz w:val="20"/>
          <w:szCs w:val="20"/>
        </w:rPr>
        <w:t xml:space="preserve"> "</w:t>
      </w:r>
      <w:proofErr w:type="spellStart"/>
      <w:r w:rsidR="00812BA0" w:rsidRPr="002C26F0">
        <w:rPr>
          <w:sz w:val="20"/>
          <w:szCs w:val="20"/>
        </w:rPr>
        <w:t>Ишлар</w:t>
      </w:r>
      <w:proofErr w:type="spellEnd"/>
      <w:r w:rsidR="00812BA0" w:rsidRPr="002C26F0">
        <w:rPr>
          <w:sz w:val="20"/>
          <w:szCs w:val="20"/>
        </w:rPr>
        <w:t xml:space="preserve">" </w:t>
      </w:r>
      <w:proofErr w:type="spellStart"/>
      <w:r w:rsidR="00812BA0" w:rsidRPr="002C26F0">
        <w:rPr>
          <w:sz w:val="20"/>
          <w:szCs w:val="20"/>
        </w:rPr>
        <w:t>кўрсатилишини</w:t>
      </w:r>
      <w:proofErr w:type="spellEnd"/>
      <w:r>
        <w:rPr>
          <w:sz w:val="20"/>
          <w:szCs w:val="20"/>
          <w:lang w:val="uz-Cyrl-UZ"/>
        </w:rPr>
        <w:t xml:space="preserve"> </w:t>
      </w:r>
      <w:proofErr w:type="spellStart"/>
      <w:r w:rsidR="00812BA0" w:rsidRPr="002C26F0">
        <w:rPr>
          <w:sz w:val="20"/>
          <w:szCs w:val="20"/>
        </w:rPr>
        <w:t>талаб</w:t>
      </w:r>
      <w:proofErr w:type="spellEnd"/>
      <w:r>
        <w:rPr>
          <w:sz w:val="20"/>
          <w:szCs w:val="20"/>
          <w:lang w:val="uz-Cyrl-UZ"/>
        </w:rPr>
        <w:t xml:space="preserve"> </w:t>
      </w:r>
      <w:proofErr w:type="spellStart"/>
      <w:r w:rsidR="00812BA0" w:rsidRPr="002C26F0">
        <w:rPr>
          <w:sz w:val="20"/>
          <w:szCs w:val="20"/>
        </w:rPr>
        <w:t>қилиш</w:t>
      </w:r>
      <w:proofErr w:type="spellEnd"/>
      <w:r w:rsidR="00812BA0" w:rsidRPr="002C26F0">
        <w:rPr>
          <w:sz w:val="20"/>
          <w:szCs w:val="20"/>
        </w:rPr>
        <w:t>;</w:t>
      </w:r>
    </w:p>
    <w:p w:rsidR="00812BA0" w:rsidRPr="002C26F0" w:rsidRDefault="00812BA0" w:rsidP="00812BA0">
      <w:pPr>
        <w:jc w:val="both"/>
        <w:rPr>
          <w:sz w:val="20"/>
          <w:szCs w:val="20"/>
        </w:rPr>
      </w:pPr>
      <w:r w:rsidRPr="002C26F0">
        <w:rPr>
          <w:sz w:val="20"/>
          <w:szCs w:val="20"/>
        </w:rPr>
        <w:t xml:space="preserve">2.1.4.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кўрсатилган</w:t>
      </w:r>
      <w:proofErr w:type="spellEnd"/>
      <w:r w:rsidR="00B75872">
        <w:rPr>
          <w:sz w:val="20"/>
          <w:szCs w:val="20"/>
          <w:lang w:val="uz-Cyrl-UZ"/>
        </w:rPr>
        <w:t xml:space="preserve"> </w:t>
      </w:r>
      <w:proofErr w:type="spellStart"/>
      <w:r w:rsidRPr="002C26F0">
        <w:rPr>
          <w:sz w:val="20"/>
          <w:szCs w:val="20"/>
        </w:rPr>
        <w:t>тақдирда</w:t>
      </w:r>
      <w:proofErr w:type="spellEnd"/>
      <w:r w:rsidR="00B75872">
        <w:rPr>
          <w:sz w:val="20"/>
          <w:szCs w:val="20"/>
          <w:lang w:val="uz-Cyrl-UZ"/>
        </w:rPr>
        <w:t xml:space="preserve"> </w:t>
      </w:r>
      <w:proofErr w:type="spellStart"/>
      <w:r w:rsidRPr="002C26F0">
        <w:rPr>
          <w:sz w:val="20"/>
          <w:szCs w:val="20"/>
        </w:rPr>
        <w:t>ўз</w:t>
      </w:r>
      <w:proofErr w:type="spellEnd"/>
      <w:r w:rsidR="00B75872">
        <w:rPr>
          <w:sz w:val="20"/>
          <w:szCs w:val="20"/>
          <w:lang w:val="uz-Cyrl-UZ"/>
        </w:rPr>
        <w:t xml:space="preserve"> </w:t>
      </w:r>
      <w:proofErr w:type="spellStart"/>
      <w:r w:rsidRPr="002C26F0">
        <w:rPr>
          <w:sz w:val="20"/>
          <w:szCs w:val="20"/>
        </w:rPr>
        <w:t>танлашига</w:t>
      </w:r>
      <w:proofErr w:type="spellEnd"/>
      <w:r w:rsidR="00B75872">
        <w:rPr>
          <w:sz w:val="20"/>
          <w:szCs w:val="20"/>
          <w:lang w:val="uz-Cyrl-UZ"/>
        </w:rPr>
        <w:t xml:space="preserve"> </w:t>
      </w:r>
      <w:proofErr w:type="spellStart"/>
      <w:r w:rsidRPr="002C26F0">
        <w:rPr>
          <w:sz w:val="20"/>
          <w:szCs w:val="20"/>
        </w:rPr>
        <w:t>кўра</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w:t>
      </w:r>
      <w:proofErr w:type="spellEnd"/>
      <w:r w:rsidR="00B75872">
        <w:rPr>
          <w:sz w:val="20"/>
          <w:szCs w:val="20"/>
          <w:lang w:val="uz-Cyrl-UZ"/>
        </w:rPr>
        <w:t xml:space="preserve"> </w:t>
      </w:r>
      <w:proofErr w:type="spellStart"/>
      <w:r w:rsidRPr="002C26F0">
        <w:rPr>
          <w:sz w:val="20"/>
          <w:szCs w:val="20"/>
        </w:rPr>
        <w:t>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w:t>
      </w:r>
      <w:proofErr w:type="spellEnd"/>
      <w:r w:rsidR="00B75872">
        <w:rPr>
          <w:sz w:val="20"/>
          <w:szCs w:val="20"/>
          <w:lang w:val="uz-Cyrl-UZ"/>
        </w:rPr>
        <w:t xml:space="preserve"> </w:t>
      </w:r>
      <w:proofErr w:type="spellStart"/>
      <w:r w:rsidRPr="002C26F0">
        <w:rPr>
          <w:sz w:val="20"/>
          <w:szCs w:val="20"/>
        </w:rPr>
        <w:t>алмаштирилишини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w:t>
      </w:r>
      <w:proofErr w:type="spellStart"/>
      <w:r w:rsidRPr="002C26F0">
        <w:rPr>
          <w:sz w:val="20"/>
          <w:szCs w:val="20"/>
        </w:rPr>
        <w:t>Ишлар</w:t>
      </w:r>
      <w:proofErr w:type="gramStart"/>
      <w:r w:rsidRPr="002C26F0">
        <w:rPr>
          <w:sz w:val="20"/>
          <w:szCs w:val="20"/>
        </w:rPr>
        <w:t>"н</w:t>
      </w:r>
      <w:proofErr w:type="gramEnd"/>
      <w:r w:rsidRPr="002C26F0">
        <w:rPr>
          <w:sz w:val="20"/>
          <w:szCs w:val="20"/>
        </w:rPr>
        <w:t>инг</w:t>
      </w:r>
      <w:proofErr w:type="spellEnd"/>
      <w:r w:rsidR="00B75872">
        <w:rPr>
          <w:sz w:val="20"/>
          <w:szCs w:val="20"/>
          <w:lang w:val="uz-Cyrl-UZ"/>
        </w:rPr>
        <w:t xml:space="preserve"> </w:t>
      </w:r>
      <w:proofErr w:type="spellStart"/>
      <w:r w:rsidRPr="002C26F0">
        <w:rPr>
          <w:sz w:val="20"/>
          <w:szCs w:val="20"/>
        </w:rPr>
        <w:t>камчиликлари</w:t>
      </w:r>
      <w:proofErr w:type="spellEnd"/>
      <w:r w:rsidR="00B75872">
        <w:rPr>
          <w:sz w:val="20"/>
          <w:szCs w:val="20"/>
          <w:lang w:val="uz-Cyrl-UZ"/>
        </w:rPr>
        <w:t xml:space="preserve"> </w:t>
      </w:r>
      <w:proofErr w:type="spellStart"/>
      <w:r w:rsidRPr="002C26F0">
        <w:rPr>
          <w:sz w:val="20"/>
          <w:szCs w:val="20"/>
        </w:rPr>
        <w:t>бепул</w:t>
      </w:r>
      <w:proofErr w:type="spellEnd"/>
      <w:r w:rsidR="00B75872">
        <w:rPr>
          <w:sz w:val="20"/>
          <w:szCs w:val="20"/>
          <w:lang w:val="uz-Cyrl-UZ"/>
        </w:rPr>
        <w:t xml:space="preserve"> </w:t>
      </w:r>
      <w:proofErr w:type="spellStart"/>
      <w:r w:rsidRPr="002C26F0">
        <w:rPr>
          <w:sz w:val="20"/>
          <w:szCs w:val="20"/>
        </w:rPr>
        <w:t>бартараф</w:t>
      </w:r>
      <w:proofErr w:type="spellEnd"/>
      <w:r w:rsidR="00B75872">
        <w:rPr>
          <w:sz w:val="20"/>
          <w:szCs w:val="20"/>
          <w:lang w:val="uz-Cyrl-UZ"/>
        </w:rPr>
        <w:t xml:space="preserve"> </w:t>
      </w:r>
      <w:proofErr w:type="spellStart"/>
      <w:r w:rsidRPr="002C26F0">
        <w:rPr>
          <w:sz w:val="20"/>
          <w:szCs w:val="20"/>
        </w:rPr>
        <w:t>этилишини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ёхуд</w:t>
      </w:r>
      <w:proofErr w:type="spellEnd"/>
      <w:r w:rsidR="00B75872">
        <w:rPr>
          <w:sz w:val="20"/>
          <w:szCs w:val="20"/>
          <w:lang w:val="uz-Cyrl-UZ"/>
        </w:rPr>
        <w:t xml:space="preserve"> </w:t>
      </w:r>
      <w:proofErr w:type="spellStart"/>
      <w:r w:rsidRPr="002C26F0">
        <w:rPr>
          <w:sz w:val="20"/>
          <w:szCs w:val="20"/>
        </w:rPr>
        <w:t>учинчи</w:t>
      </w:r>
      <w:proofErr w:type="spellEnd"/>
      <w:r w:rsidR="00B75872">
        <w:rPr>
          <w:sz w:val="20"/>
          <w:szCs w:val="20"/>
          <w:lang w:val="uz-Cyrl-UZ"/>
        </w:rPr>
        <w:t xml:space="preserve"> </w:t>
      </w:r>
      <w:proofErr w:type="spellStart"/>
      <w:r w:rsidRPr="002C26F0">
        <w:rPr>
          <w:sz w:val="20"/>
          <w:szCs w:val="20"/>
        </w:rPr>
        <w:t>шахслар</w:t>
      </w:r>
      <w:proofErr w:type="spellEnd"/>
      <w:r w:rsidR="00B75872">
        <w:rPr>
          <w:sz w:val="20"/>
          <w:szCs w:val="20"/>
          <w:lang w:val="uz-Cyrl-UZ"/>
        </w:rPr>
        <w:t xml:space="preserve"> </w:t>
      </w:r>
      <w:proofErr w:type="spellStart"/>
      <w:r w:rsidRPr="002C26F0">
        <w:rPr>
          <w:sz w:val="20"/>
          <w:szCs w:val="20"/>
        </w:rPr>
        <w:t>томонидан</w:t>
      </w:r>
      <w:proofErr w:type="spellEnd"/>
      <w:r w:rsidR="00B75872">
        <w:rPr>
          <w:sz w:val="20"/>
          <w:szCs w:val="20"/>
          <w:lang w:val="uz-Cyrl-UZ"/>
        </w:rPr>
        <w:t xml:space="preserve"> </w:t>
      </w:r>
      <w:proofErr w:type="spellStart"/>
      <w:r w:rsidRPr="002C26F0">
        <w:rPr>
          <w:sz w:val="20"/>
          <w:szCs w:val="20"/>
        </w:rPr>
        <w:t>тўғриланиши</w:t>
      </w:r>
      <w:proofErr w:type="spellEnd"/>
      <w:r w:rsidR="00B75872">
        <w:rPr>
          <w:sz w:val="20"/>
          <w:szCs w:val="20"/>
          <w:lang w:val="uz-Cyrl-UZ"/>
        </w:rPr>
        <w:t xml:space="preserve"> </w:t>
      </w:r>
      <w:proofErr w:type="spellStart"/>
      <w:r w:rsidRPr="002C26F0">
        <w:rPr>
          <w:sz w:val="20"/>
          <w:szCs w:val="20"/>
        </w:rPr>
        <w:t>харажатларини</w:t>
      </w:r>
      <w:proofErr w:type="spellEnd"/>
      <w:r w:rsidR="00B75872">
        <w:rPr>
          <w:sz w:val="20"/>
          <w:szCs w:val="20"/>
          <w:lang w:val="uz-Cyrl-UZ"/>
        </w:rPr>
        <w:t xml:space="preserve"> </w:t>
      </w:r>
      <w:proofErr w:type="spellStart"/>
      <w:r w:rsidRPr="002C26F0">
        <w:rPr>
          <w:sz w:val="20"/>
          <w:szCs w:val="20"/>
        </w:rPr>
        <w:t>қоплашни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 xml:space="preserve">- </w:t>
      </w:r>
      <w:proofErr w:type="spellStart"/>
      <w:proofErr w:type="gramStart"/>
      <w:r w:rsidRPr="002C26F0">
        <w:rPr>
          <w:sz w:val="20"/>
          <w:szCs w:val="20"/>
        </w:rPr>
        <w:t>ба</w:t>
      </w:r>
      <w:proofErr w:type="gramEnd"/>
      <w:r w:rsidRPr="002C26F0">
        <w:rPr>
          <w:sz w:val="20"/>
          <w:szCs w:val="20"/>
        </w:rPr>
        <w:t>ҳосининг</w:t>
      </w:r>
      <w:proofErr w:type="spellEnd"/>
      <w:r w:rsidR="00B75872">
        <w:rPr>
          <w:sz w:val="20"/>
          <w:szCs w:val="20"/>
          <w:lang w:val="uz-Cyrl-UZ"/>
        </w:rPr>
        <w:t xml:space="preserve"> </w:t>
      </w:r>
      <w:proofErr w:type="spellStart"/>
      <w:r w:rsidRPr="002C26F0">
        <w:rPr>
          <w:sz w:val="20"/>
          <w:szCs w:val="20"/>
        </w:rPr>
        <w:t>мутаносиб</w:t>
      </w:r>
      <w:proofErr w:type="spellEnd"/>
      <w:r w:rsidR="00B75872">
        <w:rPr>
          <w:sz w:val="20"/>
          <w:szCs w:val="20"/>
          <w:lang w:val="uz-Cyrl-UZ"/>
        </w:rPr>
        <w:t xml:space="preserve"> </w:t>
      </w:r>
      <w:proofErr w:type="spellStart"/>
      <w:r w:rsidRPr="002C26F0">
        <w:rPr>
          <w:sz w:val="20"/>
          <w:szCs w:val="20"/>
        </w:rPr>
        <w:t>тарзда</w:t>
      </w:r>
      <w:proofErr w:type="spellEnd"/>
      <w:r w:rsidR="00B75872">
        <w:rPr>
          <w:sz w:val="20"/>
          <w:szCs w:val="20"/>
          <w:lang w:val="uz-Cyrl-UZ"/>
        </w:rPr>
        <w:t xml:space="preserve"> </w:t>
      </w:r>
      <w:proofErr w:type="spellStart"/>
      <w:r w:rsidRPr="002C26F0">
        <w:rPr>
          <w:sz w:val="20"/>
          <w:szCs w:val="20"/>
        </w:rPr>
        <w:t>камайтирилишини</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 xml:space="preserve">2.1.5. </w:t>
      </w:r>
      <w:proofErr w:type="spellStart"/>
      <w:r w:rsidRPr="002C26F0">
        <w:rPr>
          <w:sz w:val="20"/>
          <w:szCs w:val="20"/>
        </w:rPr>
        <w:t>Шартнома</w:t>
      </w:r>
      <w:proofErr w:type="spellEnd"/>
      <w:r w:rsidR="00B75872">
        <w:rPr>
          <w:sz w:val="20"/>
          <w:szCs w:val="20"/>
          <w:lang w:val="uz-Cyrl-UZ"/>
        </w:rPr>
        <w:t xml:space="preserve"> </w:t>
      </w:r>
      <w:proofErr w:type="spellStart"/>
      <w:r w:rsidRPr="002C26F0">
        <w:rPr>
          <w:sz w:val="20"/>
          <w:szCs w:val="20"/>
        </w:rPr>
        <w:t>шартлари</w:t>
      </w:r>
      <w:proofErr w:type="spellEnd"/>
      <w:r w:rsidR="00B75872">
        <w:rPr>
          <w:sz w:val="20"/>
          <w:szCs w:val="20"/>
          <w:lang w:val="uz-Cyrl-UZ"/>
        </w:rPr>
        <w:t xml:space="preserve"> </w:t>
      </w:r>
      <w:proofErr w:type="spellStart"/>
      <w:r w:rsidRPr="002C26F0">
        <w:rPr>
          <w:sz w:val="20"/>
          <w:szCs w:val="20"/>
        </w:rPr>
        <w:t>бажарилмаганлиги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даражад</w:t>
      </w:r>
      <w:proofErr w:type="spellEnd"/>
      <w:r w:rsidR="00B75872">
        <w:rPr>
          <w:sz w:val="20"/>
          <w:szCs w:val="20"/>
          <w:lang w:val="uz-Cyrl-UZ"/>
        </w:rPr>
        <w:t xml:space="preserve"> </w:t>
      </w:r>
      <w:proofErr w:type="spellStart"/>
      <w:r w:rsidRPr="002C26F0">
        <w:rPr>
          <w:sz w:val="20"/>
          <w:szCs w:val="20"/>
        </w:rPr>
        <w:t>абажарилмаганлиги</w:t>
      </w:r>
      <w:proofErr w:type="spellEnd"/>
      <w:r w:rsidR="00B75872">
        <w:rPr>
          <w:sz w:val="20"/>
          <w:szCs w:val="20"/>
          <w:lang w:val="uz-Cyrl-UZ"/>
        </w:rPr>
        <w:t xml:space="preserve"> </w:t>
      </w:r>
      <w:proofErr w:type="spellStart"/>
      <w:r w:rsidRPr="002C26F0">
        <w:rPr>
          <w:sz w:val="20"/>
          <w:szCs w:val="20"/>
        </w:rPr>
        <w:t>натижасида</w:t>
      </w:r>
      <w:proofErr w:type="spellEnd"/>
      <w:r w:rsidR="00B75872">
        <w:rPr>
          <w:sz w:val="20"/>
          <w:szCs w:val="20"/>
          <w:lang w:val="uz-Cyrl-UZ"/>
        </w:rPr>
        <w:t xml:space="preserve"> </w:t>
      </w:r>
      <w:proofErr w:type="spellStart"/>
      <w:r w:rsidRPr="002C26F0">
        <w:rPr>
          <w:sz w:val="20"/>
          <w:szCs w:val="20"/>
        </w:rPr>
        <w:t>етказилган</w:t>
      </w:r>
      <w:proofErr w:type="spellEnd"/>
      <w:r w:rsidR="00B75872">
        <w:rPr>
          <w:sz w:val="20"/>
          <w:szCs w:val="20"/>
          <w:lang w:val="uz-Cyrl-UZ"/>
        </w:rPr>
        <w:t xml:space="preserve"> </w:t>
      </w:r>
      <w:proofErr w:type="spellStart"/>
      <w:r w:rsidRPr="002C26F0">
        <w:rPr>
          <w:sz w:val="20"/>
          <w:szCs w:val="20"/>
        </w:rPr>
        <w:t>зарар</w:t>
      </w:r>
      <w:proofErr w:type="spellEnd"/>
      <w:r w:rsidR="00B75872">
        <w:rPr>
          <w:sz w:val="20"/>
          <w:szCs w:val="20"/>
          <w:lang w:val="uz-Cyrl-UZ"/>
        </w:rPr>
        <w:t xml:space="preserve"> </w:t>
      </w:r>
      <w:proofErr w:type="spellStart"/>
      <w:r w:rsidRPr="002C26F0">
        <w:rPr>
          <w:sz w:val="20"/>
          <w:szCs w:val="20"/>
        </w:rPr>
        <w:t>қопланишини</w:t>
      </w:r>
      <w:proofErr w:type="spellEnd"/>
      <w:r w:rsidRPr="002C26F0">
        <w:rPr>
          <w:sz w:val="20"/>
          <w:szCs w:val="20"/>
        </w:rPr>
        <w:t xml:space="preserve"> "</w:t>
      </w:r>
      <w:proofErr w:type="spellStart"/>
      <w:r w:rsidRPr="002C26F0">
        <w:rPr>
          <w:sz w:val="20"/>
          <w:szCs w:val="20"/>
        </w:rPr>
        <w:t>Бажарувчи</w:t>
      </w:r>
      <w:proofErr w:type="gramStart"/>
      <w:r w:rsidRPr="002C26F0">
        <w:rPr>
          <w:sz w:val="20"/>
          <w:szCs w:val="20"/>
        </w:rPr>
        <w:t>"д</w:t>
      </w:r>
      <w:proofErr w:type="gramEnd"/>
      <w:r w:rsidRPr="002C26F0">
        <w:rPr>
          <w:sz w:val="20"/>
          <w:szCs w:val="20"/>
        </w:rPr>
        <w:t>ан</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2.2. "</w:t>
      </w:r>
      <w:proofErr w:type="spellStart"/>
      <w:r w:rsidRPr="002C26F0">
        <w:rPr>
          <w:sz w:val="20"/>
          <w:szCs w:val="20"/>
        </w:rPr>
        <w:t>Буюртмачи</w:t>
      </w:r>
      <w:proofErr w:type="gramStart"/>
      <w:r w:rsidRPr="002C26F0">
        <w:rPr>
          <w:sz w:val="20"/>
          <w:szCs w:val="20"/>
        </w:rPr>
        <w:t>"н</w:t>
      </w:r>
      <w:proofErr w:type="gramEnd"/>
      <w:r w:rsidRPr="002C26F0">
        <w:rPr>
          <w:sz w:val="20"/>
          <w:szCs w:val="20"/>
        </w:rPr>
        <w:t>ингмажбуриятлари</w:t>
      </w:r>
      <w:proofErr w:type="spellEnd"/>
      <w:r w:rsidRPr="002C26F0">
        <w:rPr>
          <w:sz w:val="20"/>
          <w:szCs w:val="20"/>
        </w:rPr>
        <w:t>:</w:t>
      </w:r>
    </w:p>
    <w:p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w:t>
      </w:r>
      <w:proofErr w:type="gramStart"/>
      <w:r w:rsidRPr="002C26F0">
        <w:rPr>
          <w:sz w:val="20"/>
          <w:szCs w:val="20"/>
          <w:lang w:val="uz-Cyrl-UZ"/>
        </w:rPr>
        <w:t>"н</w:t>
      </w:r>
      <w:proofErr w:type="gramEnd"/>
      <w:r w:rsidRPr="002C26F0">
        <w:rPr>
          <w:sz w:val="20"/>
          <w:szCs w:val="20"/>
          <w:lang w:val="uz-Cyrl-UZ"/>
        </w:rPr>
        <w:t>и мазкур шартномага мувофиқ қабул қилиш;</w:t>
      </w:r>
    </w:p>
    <w:p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812BA0" w:rsidRPr="005F7ABF" w:rsidRDefault="00812BA0" w:rsidP="00812BA0">
      <w:pPr>
        <w:jc w:val="center"/>
        <w:rPr>
          <w:b/>
          <w:sz w:val="20"/>
          <w:szCs w:val="20"/>
        </w:rPr>
      </w:pPr>
      <w:r w:rsidRPr="005F7ABF">
        <w:rPr>
          <w:b/>
          <w:bCs/>
          <w:sz w:val="20"/>
          <w:szCs w:val="20"/>
        </w:rPr>
        <w:t>III. ШАРТНОМАНИНГ</w:t>
      </w:r>
    </w:p>
    <w:p w:rsidR="00812BA0" w:rsidRPr="005F7ABF" w:rsidRDefault="00812BA0" w:rsidP="00812BA0">
      <w:pPr>
        <w:jc w:val="center"/>
        <w:rPr>
          <w:b/>
          <w:sz w:val="20"/>
          <w:szCs w:val="20"/>
        </w:rPr>
      </w:pPr>
      <w:r w:rsidRPr="005F7ABF">
        <w:rPr>
          <w:b/>
          <w:bCs/>
          <w:sz w:val="20"/>
          <w:szCs w:val="20"/>
        </w:rPr>
        <w:t>БАҲОСИ ВА ҲИСОБ-КИТОБ ТАРТИБИ</w:t>
      </w:r>
    </w:p>
    <w:p w:rsidR="00812BA0" w:rsidRPr="002C26F0" w:rsidRDefault="00812BA0" w:rsidP="00812BA0">
      <w:pPr>
        <w:jc w:val="both"/>
        <w:rPr>
          <w:sz w:val="20"/>
          <w:szCs w:val="20"/>
          <w:lang w:val="uz-Cyrl-UZ"/>
        </w:rPr>
      </w:pPr>
      <w:r w:rsidRPr="002C26F0">
        <w:rPr>
          <w:sz w:val="20"/>
          <w:szCs w:val="20"/>
        </w:rPr>
        <w:t xml:space="preserve">3.1. </w:t>
      </w:r>
      <w:proofErr w:type="spellStart"/>
      <w:r w:rsidRPr="002C26F0">
        <w:rPr>
          <w:sz w:val="20"/>
          <w:szCs w:val="20"/>
        </w:rPr>
        <w:t>Мазкур</w:t>
      </w:r>
      <w:proofErr w:type="spellEnd"/>
      <w:r w:rsidR="00882FD2">
        <w:rPr>
          <w:sz w:val="20"/>
          <w:szCs w:val="20"/>
        </w:rPr>
        <w:t xml:space="preserve"> </w:t>
      </w:r>
      <w:proofErr w:type="spellStart"/>
      <w:r w:rsidRPr="002C26F0">
        <w:rPr>
          <w:sz w:val="20"/>
          <w:szCs w:val="20"/>
        </w:rPr>
        <w:t>шартноманинг</w:t>
      </w:r>
      <w:proofErr w:type="spellEnd"/>
      <w:r w:rsidR="00882FD2">
        <w:rPr>
          <w:sz w:val="20"/>
          <w:szCs w:val="20"/>
        </w:rPr>
        <w:t xml:space="preserve"> </w:t>
      </w:r>
      <w:proofErr w:type="spellStart"/>
      <w:r w:rsidRPr="002C26F0">
        <w:rPr>
          <w:sz w:val="20"/>
          <w:szCs w:val="20"/>
        </w:rPr>
        <w:t>баҳоси</w:t>
      </w:r>
      <w:proofErr w:type="spellEnd"/>
      <w:r w:rsidR="00882FD2">
        <w:rPr>
          <w:sz w:val="20"/>
          <w:szCs w:val="20"/>
        </w:rPr>
        <w:t xml:space="preserve"> </w:t>
      </w:r>
      <w:proofErr w:type="gramStart"/>
      <w:r w:rsidR="000A7892" w:rsidRPr="002C26F0">
        <w:rPr>
          <w:sz w:val="20"/>
          <w:szCs w:val="20"/>
          <w:lang w:val="uz-Latn-UZ"/>
        </w:rPr>
        <w:t>с</w:t>
      </w:r>
      <w:proofErr w:type="gramEnd"/>
      <w:r w:rsidR="000A7892" w:rsidRPr="002C26F0">
        <w:rPr>
          <w:sz w:val="20"/>
          <w:szCs w:val="20"/>
          <w:lang w:val="uz-Latn-UZ"/>
        </w:rPr>
        <w:t xml:space="preserve">ўмни </w:t>
      </w:r>
      <w:proofErr w:type="spellStart"/>
      <w:r w:rsidRPr="002C26F0">
        <w:rPr>
          <w:sz w:val="20"/>
          <w:szCs w:val="20"/>
        </w:rPr>
        <w:t>ташкил</w:t>
      </w:r>
      <w:proofErr w:type="spellEnd"/>
      <w:r w:rsidR="00882FD2">
        <w:rPr>
          <w:sz w:val="20"/>
          <w:szCs w:val="20"/>
        </w:rPr>
        <w:t xml:space="preserve"> </w:t>
      </w:r>
      <w:proofErr w:type="spellStart"/>
      <w:r w:rsidRPr="002C26F0">
        <w:rPr>
          <w:sz w:val="20"/>
          <w:szCs w:val="20"/>
        </w:rPr>
        <w:t>этади</w:t>
      </w:r>
      <w:proofErr w:type="spellEnd"/>
      <w:r w:rsidRPr="002C26F0">
        <w:rPr>
          <w:sz w:val="20"/>
          <w:szCs w:val="20"/>
        </w:rPr>
        <w:t>.</w:t>
      </w:r>
      <w:r w:rsidRPr="002C26F0">
        <w:rPr>
          <w:sz w:val="20"/>
          <w:szCs w:val="20"/>
          <w:lang w:val="uz-Cyrl-UZ"/>
        </w:rPr>
        <w:t xml:space="preserve"> Бажариладиган "Ишлар"нинг баҳоси мазкур шартномага иловада кўрсатилган.</w:t>
      </w:r>
    </w:p>
    <w:p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 xml:space="preserve">Ғазначиликдарўйхатга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rsidR="00B75872" w:rsidRDefault="00B75872" w:rsidP="00812BA0">
      <w:pPr>
        <w:jc w:val="center"/>
        <w:rPr>
          <w:color w:val="FF0000"/>
          <w:sz w:val="20"/>
          <w:szCs w:val="20"/>
          <w:lang w:val="uz-Cyrl-UZ"/>
        </w:rPr>
      </w:pPr>
    </w:p>
    <w:p w:rsidR="00812BA0" w:rsidRPr="00997815" w:rsidRDefault="00812BA0" w:rsidP="00812BA0">
      <w:pPr>
        <w:jc w:val="both"/>
        <w:rPr>
          <w:color w:val="FF0000"/>
          <w:sz w:val="16"/>
          <w:szCs w:val="16"/>
          <w:lang w:val="uz-Cyrl-UZ"/>
        </w:rPr>
      </w:pPr>
    </w:p>
    <w:p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rsidR="00812BA0" w:rsidRPr="00B22822" w:rsidRDefault="00812BA0" w:rsidP="00812BA0">
      <w:pPr>
        <w:jc w:val="center"/>
        <w:rPr>
          <w:b/>
          <w:sz w:val="20"/>
          <w:szCs w:val="20"/>
          <w:lang w:val="uz-Cyrl-UZ"/>
        </w:rPr>
      </w:pPr>
    </w:p>
    <w:p w:rsidR="00812BA0" w:rsidRPr="00461147" w:rsidRDefault="00812BA0" w:rsidP="00812BA0">
      <w:pPr>
        <w:jc w:val="both"/>
        <w:rPr>
          <w:sz w:val="20"/>
          <w:szCs w:val="20"/>
          <w:lang w:val="uz-Cyrl-UZ"/>
        </w:rPr>
      </w:pPr>
      <w:r w:rsidRPr="00A13477">
        <w:rPr>
          <w:sz w:val="20"/>
          <w:szCs w:val="20"/>
          <w:lang w:val="uz-Cyrl-UZ"/>
        </w:rPr>
        <w:lastRenderedPageBreak/>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w:t>
      </w:r>
      <w:proofErr w:type="gramStart"/>
      <w:r w:rsidRPr="00461147">
        <w:rPr>
          <w:sz w:val="20"/>
          <w:szCs w:val="20"/>
          <w:lang w:val="uz-Cyrl-UZ"/>
        </w:rPr>
        <w:t>"н</w:t>
      </w:r>
      <w:proofErr w:type="gramEnd"/>
      <w:r w:rsidRPr="00461147">
        <w:rPr>
          <w:sz w:val="20"/>
          <w:szCs w:val="20"/>
          <w:lang w:val="uz-Cyrl-UZ"/>
        </w:rPr>
        <w:t>инг масъул ходими томонидан далолатнома бўйича қабул қилинади. Далолатномада бажарилган "Ишлар" хажми, уларнинг сифати кўрсатилади.</w:t>
      </w:r>
    </w:p>
    <w:p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rsidR="00812BA0" w:rsidRPr="007050EC" w:rsidRDefault="00812BA0" w:rsidP="00812BA0">
      <w:pPr>
        <w:jc w:val="center"/>
        <w:rPr>
          <w:b/>
          <w:bCs/>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E4280D">
        <w:rPr>
          <w:sz w:val="20"/>
          <w:szCs w:val="20"/>
          <w:lang w:val="uz-Cyrl-UZ"/>
        </w:rPr>
        <w:t>2</w:t>
      </w:r>
      <w:r w:rsidRPr="00461147">
        <w:rPr>
          <w:sz w:val="20"/>
          <w:szCs w:val="20"/>
          <w:lang w:val="uz-Cyrl-UZ"/>
        </w:rPr>
        <w:t xml:space="preserve"> йил «</w:t>
      </w:r>
      <w:r w:rsidR="00771001">
        <w:rPr>
          <w:sz w:val="20"/>
          <w:szCs w:val="20"/>
          <w:lang w:val="uz-Cyrl-UZ"/>
        </w:rPr>
        <w:t xml:space="preserve">     </w:t>
      </w:r>
      <w:r w:rsidRPr="00461147">
        <w:rPr>
          <w:sz w:val="20"/>
          <w:szCs w:val="20"/>
          <w:lang w:val="uz-Cyrl-UZ"/>
        </w:rPr>
        <w:t>»</w:t>
      </w:r>
      <w:r w:rsidR="00771001">
        <w:rPr>
          <w:sz w:val="20"/>
          <w:szCs w:val="20"/>
          <w:lang w:val="uz-Cyrl-UZ"/>
        </w:rPr>
        <w:t xml:space="preserve">  апрелдан </w:t>
      </w:r>
      <w:r w:rsidRPr="00461147">
        <w:rPr>
          <w:sz w:val="20"/>
          <w:szCs w:val="20"/>
          <w:lang w:val="uz-Cyrl-UZ"/>
        </w:rPr>
        <w:t xml:space="preserve"> 20</w:t>
      </w:r>
      <w:r>
        <w:rPr>
          <w:sz w:val="20"/>
          <w:szCs w:val="20"/>
          <w:lang w:val="uz-Cyrl-UZ"/>
        </w:rPr>
        <w:t>2</w:t>
      </w:r>
      <w:r w:rsidR="00E4280D">
        <w:rPr>
          <w:sz w:val="20"/>
          <w:szCs w:val="20"/>
          <w:lang w:val="uz-Cyrl-UZ"/>
        </w:rPr>
        <w:t>2</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812BA0" w:rsidRDefault="00812BA0" w:rsidP="00812BA0">
      <w:pPr>
        <w:jc w:val="center"/>
        <w:rPr>
          <w:b/>
          <w:bCs/>
          <w:sz w:val="20"/>
          <w:szCs w:val="20"/>
          <w:lang w:val="uz-Cyrl-UZ"/>
        </w:rPr>
      </w:pPr>
    </w:p>
    <w:p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lastRenderedPageBreak/>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ганкундан</w:t>
      </w:r>
      <w:proofErr w:type="spellEnd"/>
      <w:r w:rsidRPr="00461147">
        <w:rPr>
          <w:sz w:val="20"/>
          <w:szCs w:val="20"/>
          <w:lang w:val="uz-Cyrl-UZ"/>
        </w:rPr>
        <w:t xml:space="preserve">сунг конуний кучга киради.  </w:t>
      </w:r>
    </w:p>
    <w:p w:rsidR="00356BAC" w:rsidRDefault="00356BAC" w:rsidP="00812BA0">
      <w:pPr>
        <w:jc w:val="center"/>
        <w:rPr>
          <w:b/>
          <w:bCs/>
          <w:sz w:val="20"/>
          <w:szCs w:val="20"/>
          <w:lang w:val="uz-Cyrl-UZ"/>
        </w:rPr>
      </w:pPr>
    </w:p>
    <w:p w:rsidR="00812BA0" w:rsidRDefault="00812BA0" w:rsidP="00812BA0">
      <w:pPr>
        <w:jc w:val="center"/>
        <w:rPr>
          <w:b/>
          <w:bCs/>
          <w:sz w:val="20"/>
          <w:szCs w:val="20"/>
          <w:lang w:val="uz-Cyrl-UZ"/>
        </w:rPr>
      </w:pPr>
      <w:r w:rsidRPr="005F7ABF">
        <w:rPr>
          <w:b/>
          <w:bCs/>
          <w:sz w:val="20"/>
          <w:szCs w:val="20"/>
          <w:lang w:val="uz-Cyrl-UZ"/>
        </w:rPr>
        <w:t>IХ. ЯКУНИЙ ҚОИДАЛАР</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rsidR="00812BA0" w:rsidRPr="00272A17" w:rsidRDefault="00812BA0" w:rsidP="00812BA0">
      <w:pPr>
        <w:spacing w:before="120"/>
        <w:contextualSpacing/>
        <w:jc w:val="center"/>
        <w:rPr>
          <w:b/>
          <w:bCs/>
          <w:sz w:val="22"/>
          <w:szCs w:val="22"/>
          <w:lang w:val="uz-Cyrl-UZ"/>
        </w:rPr>
      </w:pPr>
    </w:p>
    <w:p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rsidR="00812BA0" w:rsidRPr="005F7ABF" w:rsidRDefault="00812BA0" w:rsidP="00812BA0">
      <w:pPr>
        <w:spacing w:before="120"/>
        <w:contextualSpacing/>
        <w:jc w:val="center"/>
        <w:rPr>
          <w:b/>
          <w:sz w:val="22"/>
          <w:szCs w:val="22"/>
        </w:rPr>
      </w:pPr>
    </w:p>
    <w:tbl>
      <w:tblPr>
        <w:tblW w:w="10348" w:type="dxa"/>
        <w:tblInd w:w="108" w:type="dxa"/>
        <w:tblLayout w:type="fixed"/>
        <w:tblLook w:val="04A0" w:firstRow="1" w:lastRow="0" w:firstColumn="1" w:lastColumn="0" w:noHBand="0" w:noVBand="1"/>
      </w:tblPr>
      <w:tblGrid>
        <w:gridCol w:w="4984"/>
        <w:gridCol w:w="273"/>
        <w:gridCol w:w="5091"/>
      </w:tblGrid>
      <w:tr w:rsidR="00812BA0" w:rsidRPr="005F7ABF" w:rsidTr="005A55EC">
        <w:trPr>
          <w:trHeight w:val="232"/>
        </w:trPr>
        <w:tc>
          <w:tcPr>
            <w:tcW w:w="4984"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rsidR="00812BA0" w:rsidRPr="005F7ABF" w:rsidRDefault="00812BA0" w:rsidP="005A55EC">
            <w:pPr>
              <w:rPr>
                <w:b/>
              </w:rPr>
            </w:pPr>
          </w:p>
        </w:tc>
        <w:tc>
          <w:tcPr>
            <w:tcW w:w="5091" w:type="dxa"/>
          </w:tcPr>
          <w:p w:rsidR="00812BA0" w:rsidRPr="005F7ABF" w:rsidRDefault="00812BA0" w:rsidP="005A55E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0A7892" w:rsidRPr="008E1280" w:rsidTr="00E4280D">
        <w:trPr>
          <w:trHeight w:val="3841"/>
        </w:trPr>
        <w:tc>
          <w:tcPr>
            <w:tcW w:w="4984" w:type="dxa"/>
          </w:tcPr>
          <w:p w:rsidR="001A46F2" w:rsidRPr="008E1280" w:rsidRDefault="001A46F2" w:rsidP="00A550C5">
            <w:pPr>
              <w:rPr>
                <w:color w:val="000000"/>
              </w:rPr>
            </w:pPr>
          </w:p>
        </w:tc>
        <w:tc>
          <w:tcPr>
            <w:tcW w:w="273" w:type="dxa"/>
          </w:tcPr>
          <w:p w:rsidR="000A7892" w:rsidRPr="0045446B" w:rsidRDefault="000A7892" w:rsidP="005A55EC">
            <w:pPr>
              <w:rPr>
                <w:color w:val="FF0000"/>
                <w:lang w:val="uz-Cyrl-UZ"/>
              </w:rPr>
            </w:pPr>
          </w:p>
        </w:tc>
        <w:tc>
          <w:tcPr>
            <w:tcW w:w="5091" w:type="dxa"/>
          </w:tcPr>
          <w:p w:rsidR="001A46F2" w:rsidRPr="001A46F2" w:rsidRDefault="001A46F2" w:rsidP="00E4280D">
            <w:pPr>
              <w:rPr>
                <w:lang w:val="en-US"/>
              </w:rPr>
            </w:pPr>
            <w:bookmarkStart w:id="0" w:name="_GoBack"/>
            <w:bookmarkEnd w:id="0"/>
          </w:p>
        </w:tc>
      </w:tr>
    </w:tbl>
    <w:p w:rsidR="00812BA0" w:rsidRPr="00771001" w:rsidRDefault="00812BA0" w:rsidP="00812BA0">
      <w:pPr>
        <w:ind w:right="-11"/>
        <w:rPr>
          <w:b/>
          <w:sz w:val="16"/>
          <w:szCs w:val="16"/>
          <w:lang w:val="en-US"/>
        </w:rPr>
      </w:pPr>
    </w:p>
    <w:p w:rsidR="00812BA0" w:rsidRPr="00771001" w:rsidRDefault="00812BA0"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F156CD" w:rsidP="00812BA0">
      <w:pPr>
        <w:ind w:right="-11"/>
        <w:rPr>
          <w:b/>
          <w:sz w:val="16"/>
          <w:szCs w:val="16"/>
          <w:lang w:val="en-US"/>
        </w:rPr>
      </w:pPr>
      <w:r>
        <w:rPr>
          <w:b/>
          <w:sz w:val="16"/>
          <w:szCs w:val="16"/>
          <w:lang w:val="en-US"/>
        </w:rPr>
        <w:t>@Gulchehra2022</w:t>
      </w: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812BA0" w:rsidRPr="00771001" w:rsidRDefault="00812BA0" w:rsidP="00812BA0">
      <w:pPr>
        <w:ind w:right="-11"/>
        <w:rPr>
          <w:b/>
          <w:sz w:val="16"/>
          <w:szCs w:val="16"/>
          <w:lang w:val="en-US"/>
        </w:rPr>
      </w:pPr>
    </w:p>
    <w:p w:rsidR="00732B27" w:rsidRPr="00732B27" w:rsidRDefault="00732B27" w:rsidP="00812BA0">
      <w:pPr>
        <w:ind w:right="-11"/>
        <w:rPr>
          <w:b/>
          <w:sz w:val="16"/>
          <w:szCs w:val="16"/>
          <w:lang w:val="uz-Cyrl-UZ"/>
        </w:rPr>
      </w:pPr>
    </w:p>
    <w:p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A0"/>
    <w:rsid w:val="000405CB"/>
    <w:rsid w:val="0004761A"/>
    <w:rsid w:val="000A7892"/>
    <w:rsid w:val="0014484D"/>
    <w:rsid w:val="001A46F2"/>
    <w:rsid w:val="001E584A"/>
    <w:rsid w:val="00246681"/>
    <w:rsid w:val="00290083"/>
    <w:rsid w:val="002926C6"/>
    <w:rsid w:val="002D3FE1"/>
    <w:rsid w:val="0034489B"/>
    <w:rsid w:val="00356BAC"/>
    <w:rsid w:val="00366682"/>
    <w:rsid w:val="00373E9A"/>
    <w:rsid w:val="0041032C"/>
    <w:rsid w:val="004D4C90"/>
    <w:rsid w:val="004F5362"/>
    <w:rsid w:val="00514D73"/>
    <w:rsid w:val="00562F10"/>
    <w:rsid w:val="005D4CD4"/>
    <w:rsid w:val="005F2AFB"/>
    <w:rsid w:val="006113E2"/>
    <w:rsid w:val="00622751"/>
    <w:rsid w:val="006F20A5"/>
    <w:rsid w:val="00732B27"/>
    <w:rsid w:val="00764462"/>
    <w:rsid w:val="00771001"/>
    <w:rsid w:val="007934E4"/>
    <w:rsid w:val="007B057B"/>
    <w:rsid w:val="00812BA0"/>
    <w:rsid w:val="00882FD2"/>
    <w:rsid w:val="008B311D"/>
    <w:rsid w:val="008E1280"/>
    <w:rsid w:val="0095536C"/>
    <w:rsid w:val="009557DA"/>
    <w:rsid w:val="00997815"/>
    <w:rsid w:val="009C673E"/>
    <w:rsid w:val="009C7520"/>
    <w:rsid w:val="00A550C5"/>
    <w:rsid w:val="00AA16B5"/>
    <w:rsid w:val="00AC54B8"/>
    <w:rsid w:val="00B12D35"/>
    <w:rsid w:val="00B75872"/>
    <w:rsid w:val="00BA7379"/>
    <w:rsid w:val="00BB4716"/>
    <w:rsid w:val="00BD7F21"/>
    <w:rsid w:val="00BE73D4"/>
    <w:rsid w:val="00C373EB"/>
    <w:rsid w:val="00C548B5"/>
    <w:rsid w:val="00C700C3"/>
    <w:rsid w:val="00CC40D5"/>
    <w:rsid w:val="00D3496D"/>
    <w:rsid w:val="00D71E01"/>
    <w:rsid w:val="00D84845"/>
    <w:rsid w:val="00DB3F0D"/>
    <w:rsid w:val="00E10C12"/>
    <w:rsid w:val="00E25536"/>
    <w:rsid w:val="00E4280D"/>
    <w:rsid w:val="00EB5272"/>
    <w:rsid w:val="00F005E3"/>
    <w:rsid w:val="00F156CD"/>
    <w:rsid w:val="00F17BE5"/>
    <w:rsid w:val="00F56FC3"/>
    <w:rsid w:val="00F7269F"/>
    <w:rsid w:val="00F72ABD"/>
    <w:rsid w:val="00F81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3</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Ikromiddin</cp:lastModifiedBy>
  <cp:revision>7</cp:revision>
  <cp:lastPrinted>2022-04-05T06:58:00Z</cp:lastPrinted>
  <dcterms:created xsi:type="dcterms:W3CDTF">2022-04-05T06:59:00Z</dcterms:created>
  <dcterms:modified xsi:type="dcterms:W3CDTF">2022-06-08T09:56:00Z</dcterms:modified>
</cp:coreProperties>
</file>