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28" w:rsidRPr="002E6BE9" w:rsidRDefault="00893C28" w:rsidP="001821F6">
      <w:pPr>
        <w:spacing w:after="0" w:line="240" w:lineRule="auto"/>
        <w:jc w:val="center"/>
        <w:rPr>
          <w:rFonts w:ascii="Times New Roman" w:hAnsi="Times New Roman" w:cs="Times New Roman"/>
          <w:b/>
          <w:lang w:val="uz-Cyrl-UZ" w:eastAsia="ru-RU"/>
        </w:rPr>
      </w:pPr>
    </w:p>
    <w:p w:rsidR="00893C28" w:rsidRPr="002E6BE9" w:rsidRDefault="00893C28" w:rsidP="001821F6">
      <w:pPr>
        <w:spacing w:after="0" w:line="240" w:lineRule="auto"/>
        <w:jc w:val="center"/>
        <w:rPr>
          <w:rFonts w:ascii="Times New Roman" w:hAnsi="Times New Roman" w:cs="Times New Roman"/>
          <w:b/>
          <w:lang w:val="uz-Cyrl-UZ" w:eastAsia="ru-RU"/>
        </w:rPr>
      </w:pPr>
    </w:p>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5E5245" w:rsidRPr="002E6BE9">
        <w:rPr>
          <w:rFonts w:ascii="Times New Roman" w:eastAsia="Calibri" w:hAnsi="Times New Roman" w:cs="Times New Roman"/>
          <w:lang w:val="uz-Cyrl-UZ"/>
        </w:rPr>
        <w:t>Ўзбекистон Бадиий академияси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9559A8">
        <w:rPr>
          <w:rFonts w:ascii="Times New Roman" w:hAnsi="Times New Roman" w:cs="Times New Roman"/>
          <w:b/>
          <w:lang w:val="uz-Cyrl-UZ"/>
        </w:rPr>
        <w:t>Т</w:t>
      </w:r>
      <w:r w:rsidR="003C1DA7">
        <w:rPr>
          <w:rFonts w:ascii="Times New Roman" w:hAnsi="Times New Roman" w:cs="Times New Roman"/>
          <w:b/>
          <w:lang w:val="uz-Cyrl-UZ"/>
        </w:rPr>
        <w:t>.</w:t>
      </w:r>
      <w:r w:rsidR="009559A8">
        <w:rPr>
          <w:rFonts w:ascii="Times New Roman" w:hAnsi="Times New Roman" w:cs="Times New Roman"/>
          <w:b/>
          <w:lang w:val="uz-Cyrl-UZ"/>
        </w:rPr>
        <w:t>Абрае</w:t>
      </w:r>
      <w:r w:rsidR="003C1DA7">
        <w:rPr>
          <w:rFonts w:ascii="Times New Roman" w:hAnsi="Times New Roman" w:cs="Times New Roman"/>
          <w:b/>
          <w:lang w:val="uz-Cyrl-UZ"/>
        </w:rPr>
        <w:t>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3775CA" w:rsidRPr="002E6BE9">
        <w:rPr>
          <w:rFonts w:ascii="Times New Roman" w:hAnsi="Times New Roman" w:cs="Times New Roman"/>
          <w:b/>
          <w:bCs/>
          <w:lang w:val="uz-Cyrl-UZ"/>
        </w:rPr>
        <w:t>"</w:t>
      </w:r>
      <w:r w:rsidR="006C0966" w:rsidRPr="006C0966">
        <w:rPr>
          <w:rFonts w:ascii="Times New Roman" w:hAnsi="Times New Roman" w:cs="Times New Roman"/>
          <w:b/>
          <w:bCs/>
          <w:lang w:val="uz-Cyrl-UZ"/>
        </w:rPr>
        <w:t>А</w:t>
      </w:r>
      <w:r w:rsidR="009559A8">
        <w:rPr>
          <w:rFonts w:ascii="Times New Roman" w:hAnsi="Times New Roman" w:cs="Times New Roman"/>
          <w:b/>
          <w:bCs/>
          <w:lang w:val="uz-Cyrl-UZ"/>
        </w:rPr>
        <w:t>дабиётларни яратиш ва чоп этиш</w:t>
      </w:r>
      <w:r w:rsidR="003775CA">
        <w:rPr>
          <w:rFonts w:ascii="Times New Roman" w:hAnsi="Times New Roman" w:cs="Times New Roman"/>
          <w:b/>
          <w:lang w:val="uz-Cyrl-UZ"/>
        </w:rPr>
        <w:t xml:space="preserve">"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5E5245" w:rsidRPr="002E6BE9">
        <w:rPr>
          <w:rFonts w:ascii="Times New Roman" w:eastAsia="Calibri" w:hAnsi="Times New Roman" w:cs="Times New Roman"/>
          <w:lang w:val="uz-Cyrl-UZ"/>
        </w:rPr>
        <w:t>2</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9.3.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9.4.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9.5.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9.6.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7C4A25" w:rsidRDefault="00FD1E08" w:rsidP="00FD1E08">
            <w:pPr>
              <w:spacing w:after="160" w:line="242" w:lineRule="auto"/>
              <w:contextualSpacing/>
              <w:jc w:val="both"/>
              <w:rPr>
                <w:rFonts w:ascii="Times New Roman" w:eastAsia="Calibri" w:hAnsi="Times New Roman" w:cs="Times New Roman"/>
                <w:b/>
                <w:lang w:val="uz-Cyrl-UZ"/>
              </w:rPr>
            </w:pPr>
            <w:r w:rsidRPr="007C4A25">
              <w:rPr>
                <w:rFonts w:ascii="Times New Roman" w:eastAsia="Calibri" w:hAnsi="Times New Roman" w:cs="Times New Roman"/>
                <w:b/>
                <w:lang w:val="uz-Cyrl-UZ"/>
              </w:rPr>
              <w:t>Ўзбекистон Бадиий академияси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Тошкент шаҳар С.Азимова кўчаси 35</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ЎР Молия вазирлиги ғазначилиги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х/р 23402000300100001010ХККМ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МБ ББМФО:0014 ИНН:201122919</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ИНН: 202184026      Оконх: 97300</w:t>
            </w:r>
          </w:p>
          <w:p w:rsidR="00FD1E08" w:rsidRPr="00FD1E08" w:rsidRDefault="003071D3" w:rsidP="00FD1E08">
            <w:pPr>
              <w:spacing w:after="160" w:line="242" w:lineRule="auto"/>
              <w:contextualSpacing/>
              <w:jc w:val="both"/>
              <w:rPr>
                <w:rFonts w:ascii="Times New Roman" w:eastAsia="Calibri" w:hAnsi="Times New Roman" w:cs="Times New Roman"/>
                <w:lang w:val="uz-Cyrl-UZ"/>
              </w:rPr>
            </w:pPr>
            <w:r>
              <w:rPr>
                <w:rFonts w:ascii="Times New Roman" w:eastAsia="Calibri" w:hAnsi="Times New Roman" w:cs="Times New Roman"/>
                <w:lang w:val="uz-Cyrl-UZ"/>
              </w:rPr>
              <w:t>Л</w:t>
            </w:r>
            <w:r w:rsidR="00FD1E08" w:rsidRPr="00FD1E08">
              <w:rPr>
                <w:rFonts w:ascii="Times New Roman" w:eastAsia="Calibri" w:hAnsi="Times New Roman" w:cs="Times New Roman"/>
                <w:lang w:val="uz-Cyrl-UZ"/>
              </w:rPr>
              <w:t>/</w:t>
            </w:r>
            <w:r>
              <w:rPr>
                <w:rFonts w:ascii="Times New Roman" w:eastAsia="Calibri" w:hAnsi="Times New Roman" w:cs="Times New Roman"/>
                <w:lang w:val="uz-Cyrl-UZ"/>
              </w:rPr>
              <w:t>с</w:t>
            </w:r>
            <w:r w:rsidR="00FD1E08" w:rsidRPr="00FD1E08">
              <w:rPr>
                <w:rFonts w:ascii="Times New Roman" w:eastAsia="Calibri" w:hAnsi="Times New Roman" w:cs="Times New Roman"/>
                <w:lang w:val="uz-Cyrl-UZ"/>
              </w:rPr>
              <w:t xml:space="preserve"> </w:t>
            </w:r>
            <w:r w:rsidRPr="003071D3">
              <w:rPr>
                <w:rFonts w:ascii="Times New Roman" w:eastAsia="Calibri" w:hAnsi="Times New Roman" w:cs="Times New Roman"/>
                <w:lang w:val="uz-Cyrl-UZ"/>
              </w:rPr>
              <w:t>100010860262877089300051002</w:t>
            </w:r>
          </w:p>
          <w:p w:rsidR="00FD1E08" w:rsidRDefault="00FD1E08" w:rsidP="00FD1E08">
            <w:pPr>
              <w:spacing w:after="160" w:line="242" w:lineRule="auto"/>
              <w:contextualSpacing/>
              <w:jc w:val="both"/>
              <w:rPr>
                <w:rFonts w:ascii="Times New Roman" w:eastAsia="Calibri" w:hAnsi="Times New Roman" w:cs="Times New Roman"/>
                <w:lang w:val="uz-Cyrl-UZ"/>
              </w:rPr>
            </w:pPr>
          </w:p>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9559A8" w:rsidP="009559A8">
            <w:pPr>
              <w:spacing w:after="160" w:line="242" w:lineRule="auto"/>
              <w:contextualSpacing/>
              <w:jc w:val="both"/>
              <w:rPr>
                <w:rFonts w:ascii="Times New Roman" w:eastAsia="Calibri" w:hAnsi="Times New Roman" w:cs="Times New Roman"/>
                <w:b/>
                <w:lang w:val="uz-Cyrl-UZ"/>
              </w:rPr>
            </w:pPr>
            <w:r>
              <w:rPr>
                <w:rFonts w:ascii="Times New Roman" w:eastAsia="Calibri" w:hAnsi="Times New Roman" w:cs="Times New Roman"/>
                <w:b/>
                <w:lang w:val="uz-Cyrl-UZ"/>
              </w:rPr>
              <w:t>Бошқарма бошлиғи</w:t>
            </w:r>
            <w:r w:rsidR="00FD1E08" w:rsidRPr="00FD1E08">
              <w:rPr>
                <w:rFonts w:ascii="Times New Roman" w:eastAsia="Calibri" w:hAnsi="Times New Roman" w:cs="Times New Roman"/>
                <w:b/>
                <w:lang w:val="uz-Cyrl-UZ"/>
              </w:rPr>
              <w:t xml:space="preserve">                   </w:t>
            </w:r>
            <w:r>
              <w:rPr>
                <w:rFonts w:ascii="Times New Roman" w:eastAsia="Calibri" w:hAnsi="Times New Roman" w:cs="Times New Roman"/>
                <w:b/>
                <w:lang w:val="uz-Cyrl-UZ"/>
              </w:rPr>
              <w:t>Т</w:t>
            </w:r>
            <w:r w:rsidR="00FD1E08" w:rsidRPr="00FD1E08">
              <w:rPr>
                <w:rFonts w:ascii="Times New Roman" w:eastAsia="Calibri" w:hAnsi="Times New Roman" w:cs="Times New Roman"/>
                <w:b/>
                <w:lang w:val="uz-Cyrl-UZ"/>
              </w:rPr>
              <w:t>.</w:t>
            </w:r>
            <w:r>
              <w:rPr>
                <w:rFonts w:ascii="Times New Roman" w:eastAsia="Calibri" w:hAnsi="Times New Roman" w:cs="Times New Roman"/>
                <w:b/>
                <w:lang w:val="uz-Cyrl-UZ"/>
              </w:rPr>
              <w:t>Абраев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2E6BE9" w:rsidRDefault="005E5245"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Ўзбекистон Бадиий академияси</w:t>
            </w:r>
          </w:p>
          <w:p w:rsidR="001A7A27" w:rsidRPr="002E6BE9" w:rsidRDefault="000B0DCA" w:rsidP="000B0DCA">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b/>
                <w:lang w:val="uz-Cyrl-UZ" w:eastAsia="ru-RU"/>
              </w:rPr>
              <w:t xml:space="preserve"> </w:t>
            </w:r>
            <w:r w:rsidRPr="005B19F1">
              <w:rPr>
                <w:rFonts w:ascii="Times New Roman" w:eastAsia="Times New Roman" w:hAnsi="Times New Roman" w:cs="Times New Roman"/>
                <w:b/>
                <w:lang w:eastAsia="ru-RU"/>
              </w:rPr>
              <w:t>________________</w:t>
            </w:r>
            <w:r w:rsidR="0097427D" w:rsidRPr="002E6BE9">
              <w:rPr>
                <w:rFonts w:ascii="Times New Roman" w:eastAsia="Times New Roman" w:hAnsi="Times New Roman" w:cs="Times New Roman"/>
                <w:lang w:eastAsia="ru-RU"/>
              </w:rPr>
              <w:t xml:space="preserve"> </w:t>
            </w:r>
            <w:r>
              <w:rPr>
                <w:rFonts w:ascii="Times New Roman" w:eastAsia="Times New Roman" w:hAnsi="Times New Roman" w:cs="Times New Roman"/>
                <w:b/>
                <w:lang w:val="uz-Cyrl-UZ" w:eastAsia="ru-RU"/>
              </w:rPr>
              <w:t>Т</w:t>
            </w:r>
            <w:r w:rsidRPr="00C54CE8">
              <w:rPr>
                <w:rFonts w:ascii="Times New Roman" w:eastAsia="Times New Roman" w:hAnsi="Times New Roman" w:cs="Times New Roman"/>
                <w:b/>
                <w:lang w:val="uz-Cyrl-UZ" w:eastAsia="ru-RU"/>
              </w:rPr>
              <w:t>.</w:t>
            </w:r>
            <w:r>
              <w:rPr>
                <w:rFonts w:ascii="Times New Roman" w:eastAsia="Times New Roman" w:hAnsi="Times New Roman" w:cs="Times New Roman"/>
                <w:b/>
                <w:lang w:val="uz-Cyrl-UZ" w:eastAsia="ru-RU"/>
              </w:rPr>
              <w:t>Абраев</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A7A27"/>
    <w:rsid w:val="00025DDE"/>
    <w:rsid w:val="00030DCF"/>
    <w:rsid w:val="00042C46"/>
    <w:rsid w:val="000B0DCA"/>
    <w:rsid w:val="000C1EF7"/>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B6F2E"/>
    <w:rsid w:val="002D7A62"/>
    <w:rsid w:val="002E6BE9"/>
    <w:rsid w:val="003071D3"/>
    <w:rsid w:val="0032455B"/>
    <w:rsid w:val="003775CA"/>
    <w:rsid w:val="003B04DF"/>
    <w:rsid w:val="003B21A8"/>
    <w:rsid w:val="003C1DA7"/>
    <w:rsid w:val="00441A13"/>
    <w:rsid w:val="00446767"/>
    <w:rsid w:val="004B295C"/>
    <w:rsid w:val="0050737D"/>
    <w:rsid w:val="00517F08"/>
    <w:rsid w:val="005A7B58"/>
    <w:rsid w:val="005B19F1"/>
    <w:rsid w:val="005B2870"/>
    <w:rsid w:val="005C1DD4"/>
    <w:rsid w:val="005E5245"/>
    <w:rsid w:val="005F72B5"/>
    <w:rsid w:val="006073AB"/>
    <w:rsid w:val="00610E6E"/>
    <w:rsid w:val="00617725"/>
    <w:rsid w:val="0068523F"/>
    <w:rsid w:val="006A5396"/>
    <w:rsid w:val="006B77CD"/>
    <w:rsid w:val="006C0966"/>
    <w:rsid w:val="0075558E"/>
    <w:rsid w:val="007738DA"/>
    <w:rsid w:val="00784D70"/>
    <w:rsid w:val="007B2A1D"/>
    <w:rsid w:val="007B71B3"/>
    <w:rsid w:val="007C4A25"/>
    <w:rsid w:val="00810BCF"/>
    <w:rsid w:val="00813F23"/>
    <w:rsid w:val="00825847"/>
    <w:rsid w:val="00845B5C"/>
    <w:rsid w:val="008676B2"/>
    <w:rsid w:val="00893C28"/>
    <w:rsid w:val="008B7DF4"/>
    <w:rsid w:val="008D0DB1"/>
    <w:rsid w:val="008F2AB0"/>
    <w:rsid w:val="00930B5C"/>
    <w:rsid w:val="009367D2"/>
    <w:rsid w:val="0093793B"/>
    <w:rsid w:val="00942AB1"/>
    <w:rsid w:val="009559A8"/>
    <w:rsid w:val="00955E87"/>
    <w:rsid w:val="00962D11"/>
    <w:rsid w:val="0097427D"/>
    <w:rsid w:val="00981080"/>
    <w:rsid w:val="0099405F"/>
    <w:rsid w:val="009A4DC2"/>
    <w:rsid w:val="009C675E"/>
    <w:rsid w:val="00A417F5"/>
    <w:rsid w:val="00A6158D"/>
    <w:rsid w:val="00A828F2"/>
    <w:rsid w:val="00A95559"/>
    <w:rsid w:val="00A95D6B"/>
    <w:rsid w:val="00AB675D"/>
    <w:rsid w:val="00AF4845"/>
    <w:rsid w:val="00B10CBA"/>
    <w:rsid w:val="00B46412"/>
    <w:rsid w:val="00B637B5"/>
    <w:rsid w:val="00BB5BC0"/>
    <w:rsid w:val="00BC0C09"/>
    <w:rsid w:val="00BD2C92"/>
    <w:rsid w:val="00BE54F9"/>
    <w:rsid w:val="00BE6D48"/>
    <w:rsid w:val="00C05E79"/>
    <w:rsid w:val="00C22C12"/>
    <w:rsid w:val="00C31FFD"/>
    <w:rsid w:val="00C54CE8"/>
    <w:rsid w:val="00C54EAB"/>
    <w:rsid w:val="00C637CE"/>
    <w:rsid w:val="00CC0260"/>
    <w:rsid w:val="00CC49F1"/>
    <w:rsid w:val="00CC53A7"/>
    <w:rsid w:val="00D401F1"/>
    <w:rsid w:val="00D552E2"/>
    <w:rsid w:val="00D7777E"/>
    <w:rsid w:val="00D94AEC"/>
    <w:rsid w:val="00DA5B67"/>
    <w:rsid w:val="00DA67E0"/>
    <w:rsid w:val="00DC4B28"/>
    <w:rsid w:val="00DD513E"/>
    <w:rsid w:val="00DE7458"/>
    <w:rsid w:val="00DF5C25"/>
    <w:rsid w:val="00E3097C"/>
    <w:rsid w:val="00E874BA"/>
    <w:rsid w:val="00E96084"/>
    <w:rsid w:val="00EA4C6C"/>
    <w:rsid w:val="00EB4B4D"/>
    <w:rsid w:val="00ED2112"/>
    <w:rsid w:val="00F107D5"/>
    <w:rsid w:val="00F128E4"/>
    <w:rsid w:val="00F16C1F"/>
    <w:rsid w:val="00F172B1"/>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2</cp:revision>
  <cp:lastPrinted>2022-04-04T05:45:00Z</cp:lastPrinted>
  <dcterms:created xsi:type="dcterms:W3CDTF">2022-07-15T08:08:00Z</dcterms:created>
  <dcterms:modified xsi:type="dcterms:W3CDTF">2022-07-15T08:08:00Z</dcterms:modified>
</cp:coreProperties>
</file>