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</w:t>
      </w:r>
      <w:r w:rsidR="00D32054">
        <w:rPr>
          <w:color w:val="000000"/>
          <w:sz w:val="20"/>
          <w:szCs w:val="20"/>
          <w:lang w:val="en-US"/>
        </w:rPr>
        <w:t xml:space="preserve">   </w:t>
      </w:r>
      <w:r w:rsidR="00D32054">
        <w:rPr>
          <w:color w:val="000000"/>
          <w:sz w:val="20"/>
          <w:szCs w:val="20"/>
          <w:lang w:val="uz-Cyrl-UZ"/>
        </w:rPr>
        <w:t xml:space="preserve">6-53-62 </w:t>
      </w:r>
      <w:proofErr w:type="spellStart"/>
      <w:r w:rsidR="00D32054">
        <w:rPr>
          <w:color w:val="000000"/>
          <w:sz w:val="20"/>
          <w:szCs w:val="20"/>
          <w:lang w:val="en-US"/>
        </w:rPr>
        <w:t>maktablari</w:t>
      </w:r>
      <w:proofErr w:type="spellEnd"/>
      <w:r w:rsidR="00D3205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D32054">
        <w:rPr>
          <w:color w:val="000000"/>
          <w:sz w:val="20"/>
          <w:szCs w:val="20"/>
          <w:lang w:val="en-US"/>
        </w:rPr>
        <w:t>binosida</w:t>
      </w:r>
      <w:proofErr w:type="spellEnd"/>
      <w:r w:rsidR="00D3205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D32054">
        <w:rPr>
          <w:color w:val="000000"/>
          <w:sz w:val="20"/>
          <w:szCs w:val="20"/>
          <w:lang w:val="en-US"/>
        </w:rPr>
        <w:t>isitish</w:t>
      </w:r>
      <w:proofErr w:type="spellEnd"/>
      <w:r w:rsidR="00D3205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D32054">
        <w:rPr>
          <w:color w:val="000000"/>
          <w:sz w:val="20"/>
          <w:szCs w:val="20"/>
          <w:lang w:val="en-US"/>
        </w:rPr>
        <w:t>tizimini</w:t>
      </w:r>
      <w:proofErr w:type="spellEnd"/>
      <w:r w:rsidR="00D3205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D32054">
        <w:rPr>
          <w:color w:val="000000"/>
          <w:sz w:val="20"/>
          <w:szCs w:val="20"/>
          <w:lang w:val="en-US"/>
        </w:rPr>
        <w:t>joriy</w:t>
      </w:r>
      <w:proofErr w:type="spellEnd"/>
      <w:r w:rsidR="00D32054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bo‘yicha</w:t>
      </w:r>
    </w:p>
    <w:p w:rsidR="001C27EF" w:rsidRPr="00D32054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uz-Cyrl-UZ"/>
        </w:rPr>
        <w:t>S</w:t>
      </w:r>
      <w:r w:rsidRPr="00A01165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D32054">
        <w:rPr>
          <w:color w:val="000000"/>
          <w:sz w:val="20"/>
          <w:szCs w:val="20"/>
          <w:lang w:val="uz-Cyrl-UZ"/>
        </w:rPr>
        <w:t>-</w:t>
      </w:r>
    </w:p>
    <w:p w:rsidR="001C27EF" w:rsidRPr="00330F85" w:rsidRDefault="001C27EF" w:rsidP="001C27EF">
      <w:pPr>
        <w:rPr>
          <w:color w:val="000000"/>
          <w:lang w:val="uz-Cyrl-UZ"/>
        </w:rPr>
      </w:pPr>
    </w:p>
    <w:p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202</w:t>
      </w:r>
      <w:r w:rsidR="00A01165">
        <w:rPr>
          <w:b/>
          <w:color w:val="000000"/>
          <w:sz w:val="20"/>
          <w:szCs w:val="20"/>
          <w:u w:val="single"/>
          <w:lang w:val="uz-Cyrl-UZ"/>
        </w:rPr>
        <w:t>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>
        <w:rPr>
          <w:b/>
          <w:color w:val="000000"/>
          <w:sz w:val="20"/>
          <w:szCs w:val="20"/>
          <w:lang w:val="uz-Cyrl-UZ"/>
        </w:rPr>
        <w:t>Farg‘ona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Farg‘ona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Xalq ta’limi 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G‘.Ortiqov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="00D32054" w:rsidRPr="00D32054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--------------------------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D32054" w:rsidRPr="00D32054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-----------------------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Farg‘ona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 xml:space="preserve">tumani </w:t>
      </w:r>
      <w:r w:rsidRPr="00653F31">
        <w:rPr>
          <w:b w:val="0"/>
          <w:color w:val="000000"/>
          <w:sz w:val="20"/>
          <w:szCs w:val="20"/>
          <w:lang w:val="uz-Cyrl-UZ"/>
        </w:rPr>
        <w:t>maktab</w:t>
      </w:r>
      <w:r w:rsidRPr="00E862E3">
        <w:rPr>
          <w:b w:val="0"/>
          <w:color w:val="000000"/>
          <w:sz w:val="20"/>
          <w:szCs w:val="20"/>
          <w:lang w:val="uz-Cyrl-UZ"/>
        </w:rPr>
        <w:t xml:space="preserve">larni issiqlik tizimini </w:t>
      </w:r>
      <w:r>
        <w:rPr>
          <w:b w:val="0"/>
          <w:color w:val="000000"/>
          <w:sz w:val="20"/>
          <w:szCs w:val="20"/>
          <w:u w:val="single"/>
          <w:lang w:val="uz-Cyrl-UZ"/>
        </w:rPr>
        <w:t xml:space="preserve"> joriy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  <w:r w:rsidR="00D32054" w:rsidRPr="00D32054">
        <w:rPr>
          <w:b w:val="0"/>
          <w:color w:val="000000"/>
          <w:sz w:val="20"/>
          <w:szCs w:val="20"/>
          <w:lang w:val="uz-Cyrl-UZ"/>
        </w:rPr>
        <w:t>__________________________</w:t>
      </w:r>
      <w:r w:rsidRPr="00330F85">
        <w:rPr>
          <w:i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so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mni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tashkil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etadi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1C27EF" w:rsidRPr="00330F85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lastRenderedPageBreak/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D32054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D32054">
        <w:rPr>
          <w:color w:val="000000"/>
          <w:sz w:val="20"/>
          <w:szCs w:val="20"/>
          <w:lang w:val="en-US"/>
        </w:rPr>
        <w:t>______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D32054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>yil</w:t>
      </w:r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>)</w:t>
      </w:r>
      <w:proofErr w:type="spellStart"/>
      <w:r w:rsidRPr="001F7E22">
        <w:rPr>
          <w:color w:val="000000"/>
          <w:sz w:val="20"/>
          <w:szCs w:val="20"/>
          <w:lang w:val="en-US"/>
        </w:rPr>
        <w:t>da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:rsidR="001C27EF" w:rsidRDefault="001C27EF" w:rsidP="001C27EF">
      <w:pPr>
        <w:rPr>
          <w:color w:val="000000"/>
          <w:sz w:val="20"/>
          <w:szCs w:val="20"/>
          <w:lang w:val="en-US"/>
        </w:rPr>
      </w:pPr>
    </w:p>
    <w:p w:rsidR="001C27EF" w:rsidRDefault="001C27EF" w:rsidP="001C27EF">
      <w:pPr>
        <w:rPr>
          <w:color w:val="000000"/>
          <w:sz w:val="20"/>
          <w:szCs w:val="20"/>
          <w:lang w:val="en-US"/>
        </w:rPr>
      </w:pPr>
    </w:p>
    <w:p w:rsidR="001C27EF" w:rsidRPr="006718D8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497"/>
        <w:gridCol w:w="798"/>
        <w:gridCol w:w="4389"/>
      </w:tblGrid>
      <w:tr w:rsidR="001C27EF" w:rsidRPr="00330F85" w:rsidTr="004744EC">
        <w:trPr>
          <w:trHeight w:val="5931"/>
        </w:trPr>
        <w:tc>
          <w:tcPr>
            <w:tcW w:w="4497" w:type="dxa"/>
          </w:tcPr>
          <w:p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D32054" w:rsidRPr="004A0EF5" w:rsidRDefault="001C27EF" w:rsidP="00D32054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</w:tcPr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ona tumani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alq ta’limi bo‘limi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1C27EF" w:rsidRPr="00167BD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ona tumani Marg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ilon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cha№55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___________________</w:t>
            </w:r>
          </w:p>
          <w:p w:rsidR="001C27EF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100022860302337092100075067</w:t>
            </w:r>
          </w:p>
          <w:p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200196795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97600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1C27EF" w:rsidRPr="00167BD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G‘.Ortiqov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        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:rsidR="0090537D" w:rsidRDefault="0090537D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7EF"/>
    <w:rsid w:val="001C27EF"/>
    <w:rsid w:val="00484132"/>
    <w:rsid w:val="004A0EF5"/>
    <w:rsid w:val="005136A7"/>
    <w:rsid w:val="00533AC2"/>
    <w:rsid w:val="00772F87"/>
    <w:rsid w:val="0090537D"/>
    <w:rsid w:val="00995098"/>
    <w:rsid w:val="00A01165"/>
    <w:rsid w:val="00D32054"/>
    <w:rsid w:val="00E624CB"/>
    <w:rsid w:val="00FE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2022-07-27T11:10:00Z</dcterms:created>
  <dcterms:modified xsi:type="dcterms:W3CDTF">2022-07-27T11:10:00Z</dcterms:modified>
</cp:coreProperties>
</file>