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Шартнома</w:t>
      </w:r>
      <w:proofErr w:type="spellEnd"/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бериш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хақида</w:t>
      </w:r>
      <w:proofErr w:type="spellEnd"/>
      <w:r w:rsidRPr="00F43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3110"/>
        <w:gridCol w:w="3229"/>
      </w:tblGrid>
      <w:tr w:rsidR="00F430B0" w:rsidRPr="00F430B0" w:rsidTr="00F430B0"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30B0" w:rsidRPr="000B5C94" w:rsidRDefault="000B5C9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Оҳангарон тумани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Шартнома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2022 йил</w:t>
            </w:r>
          </w:p>
        </w:tc>
      </w:tr>
    </w:tbl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буён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корхонаси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рахбари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корхона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раҳбарининг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ҳамда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буён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Оҳангарон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туман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ҳокимлиги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туман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ҳокими </w:t>
      </w:r>
      <w:proofErr w:type="gramStart"/>
      <w:r w:rsidR="000B5C9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А.Абдуллаев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иккинчи</w:t>
      </w:r>
      <w:proofErr w:type="spellEnd"/>
      <w:proofErr w:type="gram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қуйидагилар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туздилар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ШАРТНОМА ПРЕДМЕТИ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тайёрланган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proofErr w:type="gram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тўлагандан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хақини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ШАРТНОМА СУММАСИ ВА ТОМОНЛАР ЎРТАСИДА ҲИСОБ-КИТОБЛАРНИ АМАЛГА ОШИРИШ ТАРТИБИ.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сўмни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ташкил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эркин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нархларда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нархи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ўзгарса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огохлантиради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розилигини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ҳисоб-китоб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пул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йўли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амалга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оширилади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МАҲСУЛОТ МИҚДОРИ ВА ЕТКАЗИБ БЕРИШ МУДДАТЛАРИ.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895"/>
        <w:gridCol w:w="1309"/>
        <w:gridCol w:w="1322"/>
        <w:gridCol w:w="1282"/>
        <w:gridCol w:w="1319"/>
        <w:gridCol w:w="1319"/>
        <w:gridCol w:w="1709"/>
      </w:tblGrid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Т/р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Ўлчов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бирлиги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Миқдори</w:t>
            </w:r>
            <w:proofErr w:type="spellEnd"/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Нархи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Суммаси</w:t>
            </w:r>
            <w:proofErr w:type="spellEnd"/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240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бериш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муддати</w:t>
            </w:r>
            <w:proofErr w:type="spellEnd"/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6984" w:rsidRPr="00F430B0" w:rsidTr="00046984"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46984" w:rsidRPr="00F430B0" w:rsidRDefault="00046984" w:rsidP="00F430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МАҲСУЛОТ ЕТКАЗИБ БЕРУВЧИНИНГ ҲУҚУҚ ВА МАЖБУРИЯТЛАРИ.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Ушбу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шартномадаги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тегишли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ҳужжатларни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берилиши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махсулотни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давлат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стандартларига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қайта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текширувдан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топширилгандан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сўнг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сақлаш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ишлатиш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ҳолатларга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жавобгарликдан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мустаснодир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БУЮРТМАЧИНИНГ ҲУҚУҚ ВА МАЖБУРИЯТЛАРИ.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аввалдан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Олдиндан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ҳсулот тўлиқ етказиб берилгандан сўнг ҳисоб фактурага асосан қолган 70% тўлабберилади.</w:t>
      </w:r>
    </w:p>
    <w:p w:rsidR="00F430B0" w:rsidRPr="00046984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04698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5.2. Олинган маҳсулотнинг қолган пулини бир ой муддатда тўлаб беришни кафолатлайди.</w:t>
      </w:r>
    </w:p>
    <w:p w:rsidR="00F430B0" w:rsidRPr="00046984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04698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5.3. Маҳсулотни ўз вактида қабул қилиб олади. Қабул қилиб олиш вақтида маҳсулотни сифати, миқдори шартнома талабларига мос келмаса, бу ҳақда “Маҳсулот етказиб берувчи”га дарҳол хабар қилади.</w:t>
      </w:r>
    </w:p>
    <w:p w:rsidR="00F430B0" w:rsidRPr="00046984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046984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lastRenderedPageBreak/>
        <w:t>5.4. Маҳсулот билан боғлиқ барча жараёнларда хавфсизлик техникаси хамда ёнғин хавфсизлиги қоидаларини тўла таъминлашни ўз зиммасига олади.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МАҲСУЛОТ СИФАТИ, ЕТКАЗИБ БЕРИШ МУДДАТИ ВА ТАРТИБИ.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андозаларга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белгиланган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харажатлари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ҳисобидан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Буюртмачи”нинг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вакили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сифати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бўйича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берувчи”нинг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омборида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қабул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МУЛКИЙ ЖАВОБГАРЛИК.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муддатлари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тўлиқ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ҳолларда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га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мажбурият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қисмининг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бироқ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бунда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баҳосининг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кетмаслиги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лозим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ҳақини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тўламаганлик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Буюртмачи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“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Маҳсулот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берувчи”га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бажарилмаганда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тўланадиган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жарима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ўтказиб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кун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учун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кечиктирилган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тўлов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суммасининг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Пенянинг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юқори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фоизидан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ортиқ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бўлмаган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миқдорда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пеня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тўлайди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НИЗОЛАРНИ ҲАЛ ЭТИШ ТАРТИБИ.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 Ушбу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тузиш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ўзгартириш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бекор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қилиш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вақтида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ўртасида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келиб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чиқадиган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шунингдек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етказилган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зарарни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қоплаш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тўғрисидаги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низолар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тарафларнинг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келишувига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биноан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хўжалик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суди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томонидан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ҳал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килинади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кўрсатиладидан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Шартноманинг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умумий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муддати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кўрсатиладигача</w:t>
      </w:r>
      <w:proofErr w:type="spellEnd"/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Тарафларнинг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юридик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манзилгоҳи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тўлов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реквизитлари</w:t>
      </w:r>
      <w:proofErr w:type="spellEnd"/>
      <w:r w:rsidRPr="00F43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726"/>
      </w:tblGrid>
      <w:tr w:rsidR="00F430B0" w:rsidRPr="00F430B0" w:rsidTr="00F430B0">
        <w:tc>
          <w:tcPr>
            <w:tcW w:w="5054" w:type="dxa"/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етказиб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берувчи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ҳисоб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(МФО)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СТИР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ХХТУТ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рақами</w:t>
            </w:r>
            <w:proofErr w:type="spellEnd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Маҳсулот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етказувчининг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раҳбари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Ф.И.О 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</w:p>
        </w:tc>
        <w:tc>
          <w:tcPr>
            <w:tcW w:w="5055" w:type="dxa"/>
            <w:shd w:val="clear" w:color="auto" w:fill="FFFFFF"/>
            <w:hideMark/>
          </w:tcPr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“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Буюртмачи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”</w:t>
            </w:r>
          </w:p>
          <w:p w:rsidR="00F430B0" w:rsidRPr="00F430B0" w:rsidRDefault="000B5C94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Оҳангарон туман</w:t>
            </w:r>
            <w:r w:rsid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ҳокимлиги</w:t>
            </w:r>
          </w:p>
          <w:p w:rsidR="00F430B0" w:rsidRPr="00F430B0" w:rsidRDefault="000B5C94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Оҳангарон тумани Нуробод қ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Хр:</w:t>
            </w:r>
            <w:bookmarkStart w:id="0" w:name="_GoBack"/>
            <w:bookmarkEnd w:id="0"/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(МФО)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 00014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Тошкент ш.МБ ҲККМ</w:t>
            </w:r>
          </w:p>
          <w:p w:rsidR="00F430B0" w:rsidRPr="00046984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4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СТИР </w:t>
            </w:r>
            <w:r w:rsidR="000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200609532</w:t>
            </w:r>
          </w:p>
          <w:p w:rsidR="00F430B0" w:rsidRPr="00046984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4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ХХТУТ 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998 70</w:t>
            </w:r>
            <w:r w:rsidR="000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6</w:t>
            </w:r>
            <w:r w:rsidR="000B5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45 30 53</w:t>
            </w:r>
          </w:p>
          <w:p w:rsidR="00F430B0" w:rsidRPr="00046984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  <w:r w:rsidRPr="00046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Буюртмачи корхонанинг раҳбари Ф.И.О. </w:t>
            </w:r>
          </w:p>
          <w:p w:rsidR="00F430B0" w:rsidRPr="00F430B0" w:rsidRDefault="00F430B0" w:rsidP="00F430B0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имзоси</w:t>
            </w:r>
            <w:proofErr w:type="spellEnd"/>
          </w:p>
        </w:tc>
      </w:tr>
    </w:tbl>
    <w:p w:rsidR="00F430B0" w:rsidRPr="00F430B0" w:rsidRDefault="00F430B0" w:rsidP="00F430B0">
      <w:pPr>
        <w:shd w:val="clear" w:color="auto" w:fill="FFFFFF"/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6F81" w:rsidRDefault="002C6F81"/>
    <w:sectPr w:rsidR="002C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B0"/>
    <w:rsid w:val="00046984"/>
    <w:rsid w:val="000B5C94"/>
    <w:rsid w:val="002C6F81"/>
    <w:rsid w:val="00C21E71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BB96A-D463-4054-B3E5-ACAD2510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uctures">
    <w:name w:val="structures"/>
    <w:basedOn w:val="a0"/>
    <w:rsid w:val="00F43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1</dc:creator>
  <cp:lastModifiedBy>Админ</cp:lastModifiedBy>
  <cp:revision>3</cp:revision>
  <dcterms:created xsi:type="dcterms:W3CDTF">2022-06-21T13:09:00Z</dcterms:created>
  <dcterms:modified xsi:type="dcterms:W3CDTF">2022-07-04T11:12:00Z</dcterms:modified>
</cp:coreProperties>
</file>