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3D" w:rsidRPr="00C405CB" w:rsidRDefault="00C405CB" w:rsidP="00C405CB">
      <w:pPr>
        <w:ind w:left="4111" w:right="-468" w:firstLine="992"/>
        <w:rPr>
          <w:rFonts w:ascii="Times New Roman" w:hAnsi="Times New Roman" w:cs="Times New Roman"/>
          <w:b/>
          <w:lang w:val="uz-Cyrl-UZ"/>
        </w:rPr>
      </w:pPr>
      <w:r w:rsidRPr="00C405CB">
        <w:rPr>
          <w:rFonts w:ascii="Times New Roman" w:hAnsi="Times New Roman" w:cs="Times New Roman"/>
          <w:b/>
          <w:lang w:val="uz-Cyrl-UZ"/>
        </w:rPr>
        <w:t>“ТАСДИҚЛАЙМАН”</w:t>
      </w:r>
    </w:p>
    <w:p w:rsidR="00C405CB" w:rsidRPr="005A291E" w:rsidRDefault="00D864F5" w:rsidP="00C405CB">
      <w:pPr>
        <w:ind w:left="4111" w:right="-468" w:firstLine="992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Хўжаобод</w:t>
      </w:r>
      <w:r w:rsidR="00C405CB" w:rsidRPr="00C405CB">
        <w:rPr>
          <w:rFonts w:ascii="Times New Roman" w:hAnsi="Times New Roman" w:cs="Times New Roman"/>
          <w:b/>
          <w:lang w:val="uz-Cyrl-UZ"/>
        </w:rPr>
        <w:t xml:space="preserve"> туман </w:t>
      </w:r>
      <w:r w:rsidR="005A291E">
        <w:rPr>
          <w:rFonts w:ascii="Times New Roman" w:hAnsi="Times New Roman" w:cs="Times New Roman"/>
          <w:b/>
          <w:lang w:val="uz-Cyrl-UZ"/>
        </w:rPr>
        <w:t xml:space="preserve">Ободонлаштириш </w:t>
      </w:r>
    </w:p>
    <w:p w:rsidR="00C405CB" w:rsidRPr="00C405CB" w:rsidRDefault="005A291E" w:rsidP="00C405CB">
      <w:pPr>
        <w:ind w:left="4111" w:right="-468" w:firstLine="992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бошқармаси бошлиғи</w:t>
      </w:r>
      <w:r w:rsidR="004774F4">
        <w:rPr>
          <w:rFonts w:ascii="Times New Roman" w:hAnsi="Times New Roman" w:cs="Times New Roman"/>
          <w:b/>
          <w:lang w:val="uz-Cyrl-UZ"/>
        </w:rPr>
        <w:t>:</w:t>
      </w:r>
    </w:p>
    <w:p w:rsidR="00C405CB" w:rsidRPr="004774F4" w:rsidRDefault="004774F4" w:rsidP="00C405CB">
      <w:pPr>
        <w:ind w:left="4111" w:right="-468" w:firstLine="992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________________</w:t>
      </w:r>
      <w:r w:rsidR="00D864F5">
        <w:rPr>
          <w:rFonts w:ascii="Times New Roman" w:hAnsi="Times New Roman" w:cs="Times New Roman"/>
          <w:b/>
          <w:lang w:val="uz-Cyrl-UZ"/>
        </w:rPr>
        <w:t>Т.Умирзақов</w:t>
      </w:r>
    </w:p>
    <w:p w:rsidR="00C405CB" w:rsidRPr="004774F4" w:rsidRDefault="00C405CB" w:rsidP="00C405CB">
      <w:pPr>
        <w:ind w:left="4111" w:right="-468"/>
        <w:rPr>
          <w:rFonts w:ascii="Times New Roman" w:hAnsi="Times New Roman" w:cs="Times New Roman"/>
          <w:b/>
          <w:lang w:val="uz-Cyrl-UZ"/>
        </w:rPr>
      </w:pPr>
    </w:p>
    <w:p w:rsidR="00921C3D" w:rsidRPr="004774F4" w:rsidRDefault="00D864F5" w:rsidP="007A7841">
      <w:pPr>
        <w:spacing w:after="0"/>
        <w:ind w:left="295" w:hanging="158"/>
        <w:jc w:val="center"/>
        <w:rPr>
          <w:rFonts w:ascii="Times New Roman" w:eastAsia="Times New Roman" w:hAnsi="Times New Roman" w:cs="Times New Roman"/>
          <w:sz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lang w:val="uz-Cyrl-UZ"/>
        </w:rPr>
        <w:t>ХЎЖАОБОД</w:t>
      </w:r>
      <w:r w:rsidR="004774F4">
        <w:rPr>
          <w:rFonts w:ascii="Times New Roman" w:eastAsia="Times New Roman" w:hAnsi="Times New Roman" w:cs="Times New Roman"/>
          <w:sz w:val="28"/>
          <w:lang w:val="uz-Cyrl-UZ"/>
        </w:rPr>
        <w:t xml:space="preserve"> </w:t>
      </w:r>
      <w:r w:rsidR="00BE7A3B" w:rsidRPr="004774F4">
        <w:rPr>
          <w:rFonts w:ascii="Times New Roman" w:eastAsia="Times New Roman" w:hAnsi="Times New Roman" w:cs="Times New Roman"/>
          <w:sz w:val="28"/>
          <w:lang w:val="uz-Cyrl-UZ"/>
        </w:rPr>
        <w:t>ТУМАН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 ОБОДОНЛАШТИРИШ </w:t>
      </w:r>
      <w:r w:rsidR="00BE7A3B" w:rsidRPr="004774F4">
        <w:rPr>
          <w:rFonts w:ascii="Times New Roman" w:eastAsia="Times New Roman" w:hAnsi="Times New Roman" w:cs="Times New Roman"/>
          <w:sz w:val="28"/>
          <w:lang w:val="uz-Cyrl-UZ"/>
        </w:rPr>
        <w:t>БЎЛИМИГА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 Қ</w:t>
      </w:r>
      <w:r w:rsidR="00BE7A3B" w:rsidRPr="004774F4">
        <w:rPr>
          <w:rFonts w:ascii="Times New Roman" w:eastAsia="Times New Roman" w:hAnsi="Times New Roman" w:cs="Times New Roman"/>
          <w:sz w:val="28"/>
          <w:lang w:val="uz-Cyrl-UZ"/>
        </w:rPr>
        <w:t xml:space="preserve">АРАШЛИ </w:t>
      </w:r>
      <w:r>
        <w:rPr>
          <w:rFonts w:ascii="Times New Roman" w:eastAsia="Times New Roman" w:hAnsi="Times New Roman" w:cs="Times New Roman"/>
          <w:sz w:val="28"/>
          <w:lang w:val="uz-Cyrl-UZ"/>
        </w:rPr>
        <w:t>ХЎЖАОБОД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 ТУМАНИ </w:t>
      </w:r>
      <w:r w:rsidR="00B71B26">
        <w:rPr>
          <w:rFonts w:ascii="Times New Roman" w:eastAsia="Times New Roman" w:hAnsi="Times New Roman" w:cs="Times New Roman"/>
          <w:sz w:val="28"/>
          <w:lang w:val="uz-Cyrl-UZ"/>
        </w:rPr>
        <w:t>БЕШКАРАМ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 МФЙ </w:t>
      </w:r>
      <w:r w:rsidR="00B71B26">
        <w:rPr>
          <w:rFonts w:ascii="Times New Roman" w:eastAsia="Times New Roman" w:hAnsi="Times New Roman" w:cs="Times New Roman"/>
          <w:sz w:val="28"/>
          <w:lang w:val="uz-Cyrl-UZ"/>
        </w:rPr>
        <w:t>ОРОМГОХ</w:t>
      </w:r>
      <w:r>
        <w:rPr>
          <w:rFonts w:ascii="Times New Roman" w:eastAsia="Times New Roman" w:hAnsi="Times New Roman" w:cs="Times New Roman"/>
          <w:sz w:val="28"/>
          <w:lang w:val="uz-Cyrl-UZ"/>
        </w:rPr>
        <w:t xml:space="preserve"> КЎЧАСИ 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ИЧКИ КЎЧАЛАРИНИ АСФАЛЬТЛАШ ИШЛАРИНИ </w:t>
      </w:r>
      <w:r w:rsidR="00B71B26">
        <w:rPr>
          <w:rFonts w:ascii="Times New Roman" w:eastAsia="Times New Roman" w:hAnsi="Times New Roman" w:cs="Times New Roman"/>
          <w:sz w:val="28"/>
          <w:lang w:val="uz-Cyrl-UZ"/>
        </w:rPr>
        <w:t xml:space="preserve"> </w:t>
      </w:r>
      <w:r w:rsidR="00020E0A" w:rsidRPr="004774F4">
        <w:rPr>
          <w:rFonts w:ascii="Times New Roman" w:eastAsia="Times New Roman" w:hAnsi="Times New Roman" w:cs="Times New Roman"/>
          <w:sz w:val="28"/>
          <w:lang w:val="uz-Cyrl-UZ"/>
        </w:rPr>
        <w:t>УЧУН</w:t>
      </w:r>
    </w:p>
    <w:p w:rsidR="00037CB4" w:rsidRPr="004774F4" w:rsidRDefault="00037CB4" w:rsidP="00037CB4">
      <w:pPr>
        <w:spacing w:after="310"/>
        <w:ind w:left="10" w:right="29" w:hanging="10"/>
        <w:jc w:val="center"/>
        <w:rPr>
          <w:rFonts w:ascii="Times New Roman" w:hAnsi="Times New Roman" w:cs="Times New Roman"/>
          <w:lang w:val="uz-Cyrl-UZ"/>
        </w:rPr>
      </w:pPr>
      <w:r w:rsidRPr="004774F4">
        <w:rPr>
          <w:rFonts w:ascii="Times New Roman" w:eastAsia="Times New Roman" w:hAnsi="Times New Roman" w:cs="Times New Roman"/>
          <w:sz w:val="28"/>
          <w:lang w:val="uz-Cyrl-UZ"/>
        </w:rPr>
        <w:t>ТАНЛОВ ХУЖЖАТЛАРИ</w:t>
      </w:r>
    </w:p>
    <w:p w:rsidR="00921C3D" w:rsidRPr="00C405CB" w:rsidRDefault="00D864F5">
      <w:pPr>
        <w:spacing w:after="310"/>
        <w:ind w:left="10" w:right="58" w:hanging="10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eastAsia="Times New Roman" w:hAnsi="Times New Roman" w:cs="Times New Roman"/>
          <w:sz w:val="28"/>
          <w:lang w:val="uz-Cyrl-UZ"/>
        </w:rPr>
        <w:t>Хўжаобод</w:t>
      </w:r>
      <w:r w:rsidR="00020E0A" w:rsidRPr="00C405CB">
        <w:rPr>
          <w:rFonts w:ascii="Times New Roman" w:eastAsia="Times New Roman" w:hAnsi="Times New Roman" w:cs="Times New Roman"/>
          <w:sz w:val="28"/>
          <w:lang w:val="uz-Cyrl-UZ"/>
        </w:rPr>
        <w:t xml:space="preserve"> туман - 2022 йил</w:t>
      </w:r>
    </w:p>
    <w:p w:rsidR="00921C3D" w:rsidRPr="00C405CB" w:rsidRDefault="00020E0A">
      <w:pPr>
        <w:spacing w:after="335"/>
        <w:ind w:left="2" w:hanging="10"/>
        <w:rPr>
          <w:rFonts w:ascii="Times New Roman" w:hAnsi="Times New Roman" w:cs="Times New Roman"/>
          <w:lang w:val="uz-Cyrl-UZ"/>
        </w:rPr>
      </w:pPr>
      <w:r w:rsidRPr="00C405CB">
        <w:rPr>
          <w:rFonts w:ascii="Times New Roman" w:eastAsia="Times New Roman" w:hAnsi="Times New Roman" w:cs="Times New Roman"/>
          <w:sz w:val="24"/>
          <w:lang w:val="uz-Cyrl-UZ"/>
        </w:rPr>
        <w:t>Танлов хужжатларининг мазмуни:</w:t>
      </w:r>
    </w:p>
    <w:p w:rsidR="00921C3D" w:rsidRPr="00C405CB" w:rsidRDefault="00020E0A">
      <w:pPr>
        <w:spacing w:after="235" w:line="265" w:lineRule="auto"/>
        <w:ind w:left="2" w:hanging="10"/>
        <w:rPr>
          <w:rFonts w:ascii="Times New Roman" w:hAnsi="Times New Roman" w:cs="Times New Roman"/>
        </w:rPr>
      </w:pPr>
      <w:r w:rsidRPr="00C405CB">
        <w:rPr>
          <w:rFonts w:ascii="Times New Roman" w:eastAsia="Times New Roman" w:hAnsi="Times New Roman" w:cs="Times New Roman"/>
          <w:sz w:val="26"/>
        </w:rPr>
        <w:t xml:space="preserve">1. 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Танловиштирокчилариучун</w:t>
      </w:r>
      <w:proofErr w:type="spellEnd"/>
      <w:r w:rsidRPr="00C405CB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й</w:t>
      </w:r>
      <w:proofErr w:type="spellEnd"/>
      <w:r w:rsidR="00BE7A3B" w:rsidRPr="00C405CB">
        <w:rPr>
          <w:rFonts w:ascii="Times New Roman" w:eastAsia="Times New Roman" w:hAnsi="Times New Roman" w:cs="Times New Roman"/>
          <w:sz w:val="26"/>
          <w:lang w:val="uz-Cyrl-UZ"/>
        </w:rPr>
        <w:t>ў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рикнома</w:t>
      </w:r>
      <w:proofErr w:type="spellEnd"/>
    </w:p>
    <w:p w:rsidR="00921C3D" w:rsidRPr="00C405CB" w:rsidRDefault="00020E0A">
      <w:pPr>
        <w:spacing w:after="276"/>
        <w:ind w:left="2" w:hanging="10"/>
        <w:rPr>
          <w:rFonts w:ascii="Times New Roman" w:hAnsi="Times New Roman" w:cs="Times New Roman"/>
        </w:rPr>
      </w:pPr>
      <w:r w:rsidRPr="00C405CB">
        <w:rPr>
          <w:rFonts w:ascii="Times New Roman" w:eastAsia="Times New Roman" w:hAnsi="Times New Roman" w:cs="Times New Roman"/>
          <w:sz w:val="24"/>
        </w:rPr>
        <w:t xml:space="preserve">П. Техник </w:t>
      </w:r>
      <w:proofErr w:type="spellStart"/>
      <w:r w:rsidRPr="00C405CB">
        <w:rPr>
          <w:rFonts w:ascii="Times New Roman" w:eastAsia="Times New Roman" w:hAnsi="Times New Roman" w:cs="Times New Roman"/>
          <w:sz w:val="24"/>
        </w:rPr>
        <w:t>кисм</w:t>
      </w:r>
      <w:proofErr w:type="spellEnd"/>
    </w:p>
    <w:p w:rsidR="00921C3D" w:rsidRPr="00C405CB" w:rsidRDefault="00020E0A">
      <w:pPr>
        <w:spacing w:after="624" w:line="265" w:lineRule="auto"/>
        <w:ind w:left="2" w:hanging="10"/>
        <w:rPr>
          <w:rFonts w:ascii="Times New Roman" w:hAnsi="Times New Roman" w:cs="Times New Roman"/>
        </w:rPr>
      </w:pPr>
      <w:r w:rsidRPr="00C405CB">
        <w:rPr>
          <w:rFonts w:ascii="Times New Roman" w:eastAsia="Times New Roman" w:hAnsi="Times New Roman" w:cs="Times New Roman"/>
          <w:sz w:val="26"/>
        </w:rPr>
        <w:t xml:space="preserve">Ш. 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Нархлар</w:t>
      </w:r>
      <w:proofErr w:type="spellEnd"/>
      <w:r w:rsidR="00D864F5">
        <w:rPr>
          <w:rFonts w:ascii="Times New Roman" w:eastAsia="Times New Roman" w:hAnsi="Times New Roman" w:cs="Times New Roman"/>
          <w:sz w:val="26"/>
          <w:lang w:val="uz-Cyrl-UZ"/>
        </w:rPr>
        <w:t xml:space="preserve"> Қ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исми</w:t>
      </w:r>
      <w:proofErr w:type="spellEnd"/>
    </w:p>
    <w:p w:rsidR="00921C3D" w:rsidRPr="000F0FE8" w:rsidRDefault="00020E0A" w:rsidP="000F0FE8">
      <w:pPr>
        <w:pStyle w:val="1"/>
        <w:spacing w:after="40"/>
        <w:ind w:left="-851" w:right="1436" w:firstLine="0"/>
        <w:rPr>
          <w:szCs w:val="24"/>
          <w:lang w:val="uz-Cyrl-UZ"/>
        </w:rPr>
      </w:pPr>
      <w:r w:rsidRPr="000F0FE8">
        <w:rPr>
          <w:szCs w:val="24"/>
        </w:rPr>
        <w:t xml:space="preserve">ТАНЛОВ ИШТИРОКЧИСИ УЧУН ЙУРИКНОМА 1.ТАНЛОВ ПРЕДМЕТИ ВА ТАХМИНИЙ </w:t>
      </w:r>
      <w:r w:rsidR="005A291E">
        <w:rPr>
          <w:szCs w:val="24"/>
          <w:lang w:val="uz-Cyrl-UZ"/>
        </w:rPr>
        <w:t>ҚИЙМАТ</w:t>
      </w:r>
    </w:p>
    <w:p w:rsidR="00921C3D" w:rsidRPr="004774F4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>1.Танлов предмет</w:t>
      </w:r>
      <w:r w:rsidR="007E7934"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и: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="007E7934"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Ободонлаштириш</w:t>
      </w:r>
      <w:r w:rsidR="007E7934"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бў</w:t>
      </w:r>
      <w:r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лимига карашли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тумани </w:t>
      </w:r>
      <w:r w:rsidR="00887A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Бешкарам  МФЙ  Оромгох  кучаси 1850 м ички кўчаларини асфальтлаш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ишларини</w:t>
      </w:r>
      <w:r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тайёрлаш 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A83">
        <w:rPr>
          <w:rFonts w:ascii="Times New Roman" w:eastAsia="Times New Roman" w:hAnsi="Times New Roman" w:cs="Times New Roman"/>
          <w:sz w:val="24"/>
          <w:szCs w:val="24"/>
          <w:lang w:val="uz-Cyrl-UZ"/>
        </w:rPr>
        <w:t>1.2.Танловнинг юкори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887A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киймати— </w:t>
      </w:r>
      <w:r w:rsidR="00887A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672 804 171 </w:t>
      </w:r>
      <w:r w:rsidRPr="00887A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887A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олти юз етмиш икки миллион саккиз юз турт минг бир юз етмиш бир </w:t>
      </w:r>
      <w:r w:rsidRPr="00887A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сўм</w:t>
      </w:r>
      <w:r w:rsidRPr="00887A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Ушбу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кийматдан</w:t>
      </w:r>
      <w:proofErr w:type="spellEnd"/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орт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кийматдаги</w:t>
      </w:r>
      <w:proofErr w:type="spellEnd"/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 xml:space="preserve">кабул </w:t>
      </w:r>
      <w:proofErr w:type="spellStart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>килинмайди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риб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чикилмайди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1.3.Махсулот б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топширик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хужжатларининг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кисмида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илова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килинган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Ушбу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якунлари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олиб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чиккан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бажарувчи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кил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тузилади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F778DB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1.4.Ишларни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бажариш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: ғ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олиб б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катнашчи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имзоланган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кундан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бошлаб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тузилган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нуксон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далолатномасига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асосан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график б</w:t>
      </w:r>
      <w:proofErr w:type="gramEnd"/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156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I .5.Ишларни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бошлашмуддати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— аванс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мабла</w:t>
      </w:r>
      <w:proofErr w:type="spellEnd"/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тказилган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кундан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бошлаб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хисобланади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5A291E" w:rsidRDefault="00020E0A" w:rsidP="00AF37DF">
      <w:pPr>
        <w:pStyle w:val="1"/>
        <w:ind w:left="0" w:right="1415" w:firstLine="0"/>
        <w:jc w:val="both"/>
        <w:rPr>
          <w:szCs w:val="24"/>
          <w:lang w:val="uz-Cyrl-UZ"/>
        </w:rPr>
      </w:pPr>
      <w:r w:rsidRPr="005A291E">
        <w:rPr>
          <w:szCs w:val="24"/>
          <w:lang w:val="uz-Cyrl-UZ"/>
        </w:rPr>
        <w:t>2.ТАНЛОВ ТАШКИЛОТЧИЛАРИ</w:t>
      </w:r>
    </w:p>
    <w:p w:rsidR="00921C3D" w:rsidRPr="005A291E" w:rsidRDefault="00F778DB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2.1.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="00020E0A"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Ободонлаштириш бўлими</w:t>
      </w:r>
      <w:r w:rsidR="00020E0A"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(бундан кейин-"Буюртмачи” деб аталади) — танлов ташкилотчиси хисобланади.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”Буюртмачи” манзили .•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 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Узун 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кўча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МФЙ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2.2.Танлов ”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Буюртмачи” томонидан танловлар 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тказиш б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йича тузил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ган Харид комиссияси томонидан 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тказилади.</w:t>
      </w:r>
    </w:p>
    <w:p w:rsidR="00921C3D" w:rsidRPr="000F0FE8" w:rsidRDefault="00020E0A" w:rsidP="00687290">
      <w:pPr>
        <w:spacing w:after="153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2.3.Танлов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Ободонлаштириш бўлими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”Буюртмачи” томонидан тузилган Харид комиссияси томонидан конунда белгиланган тартибда, белгиланган муддатларда </w:t>
      </w:r>
      <w:r w:rsidR="00BE7A8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тказилади.</w:t>
      </w:r>
    </w:p>
    <w:p w:rsidR="00921C3D" w:rsidRPr="000F0FE8" w:rsidRDefault="00020E0A" w:rsidP="00687290">
      <w:pPr>
        <w:pStyle w:val="1"/>
        <w:ind w:left="-851" w:right="1408" w:firstLine="0"/>
        <w:jc w:val="both"/>
        <w:rPr>
          <w:szCs w:val="24"/>
          <w:lang w:val="uz-Cyrl-UZ"/>
        </w:rPr>
      </w:pPr>
      <w:r w:rsidRPr="000F0FE8">
        <w:rPr>
          <w:szCs w:val="24"/>
          <w:lang w:val="uz-Cyrl-UZ"/>
        </w:rPr>
        <w:t>З.ТАНЛОВ ИШТИРОКЧИЛАРИ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3.1.Танлов мулкчилик шаклидан катьий назар шу мазмунда иш ва хизматлар к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рсатишга ихтисослашга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н, камида З йил тажрибага эга бў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лган барча 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ю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ридик макомга эга б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лган ташкилотлар иштирок этиши мумкин.</w:t>
      </w:r>
    </w:p>
    <w:p w:rsidR="00921C3D" w:rsidRPr="003664B3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3.2.Танловда иштирок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этиши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учун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талабгорларга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куйидаги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малакавий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талаблар к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йилади:</w:t>
      </w:r>
    </w:p>
    <w:p w:rsidR="00921C3D" w:rsidRPr="003664B3" w:rsidRDefault="003664B3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Т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анлов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предмети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ишлар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(хизматлар)ни бажариш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учун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зарур б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лган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мехнат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ресурслари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мутахассисларнинг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мавжудлиги; объектнинг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мураккаблик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даражасига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караб, ”лицензия” ва ” гувохнома' </w:t>
      </w:r>
      <w:r w:rsidR="00020E0A" w:rsidRPr="000F0F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" cy="36577"/>
            <wp:effectExtent l="0" t="0" r="0" b="0"/>
            <wp:docPr id="2446" name="Picture 2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" name="Picture 24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684-Конун 13-моддатига риояэтилишишарт</w:t>
      </w:r>
    </w:p>
    <w:p w:rsidR="00921C3D" w:rsidRPr="000F0FE8" w:rsidRDefault="00020E0A" w:rsidP="00687290">
      <w:pPr>
        <w:numPr>
          <w:ilvl w:val="0"/>
          <w:numId w:val="1"/>
        </w:numPr>
        <w:spacing w:after="33" w:line="251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Моддий-техника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базаси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хамда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ташкилотнинг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оргтехника </w:t>
      </w:r>
      <w:proofErr w:type="spellStart"/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йхати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ускуналар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37" w:line="251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Бахтсиз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ходисалар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вазиятларда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ишчи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ходимларнинг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ха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ё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урталанганилиги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4" w:line="249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хафсизлиги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коидалари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риоя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килиш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талаблари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хамда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йў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рикномалари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4" w:line="249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Ишчи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ходимларнинг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диплом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нусхалари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мехнат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дафтарчалари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mehnat.uz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сайти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оркали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йхатдан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тганлиги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рисидаги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х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ужжат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4" w:line="249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Бажарилганишларгабериладиганкафолатмуддати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249" w:line="251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сохада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олдин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буюртмачилар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тавсифномалари</w:t>
      </w:r>
      <w:proofErr w:type="spellEnd"/>
    </w:p>
    <w:p w:rsidR="00921C3D" w:rsidRPr="000F0FE8" w:rsidRDefault="003B5F5B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предмети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бўлган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хизматлар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бажариш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лик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фаолият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конунчиликка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биноан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лицензиялаштириши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зарур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лса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танловда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иштирок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этиш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тартибга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увофик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тегишли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лицензияга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эга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талабгорларга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рухсат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этилади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3.4.Куйидаги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талабгорларга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жараёнларида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этишга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рухсат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берилмайди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3D" w:rsidRPr="000F0FE8" w:rsidRDefault="004422DE" w:rsidP="00687290">
      <w:pPr>
        <w:spacing w:after="158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айта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ташкил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этили</w:t>
      </w:r>
      <w:proofErr w:type="gram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ажралиши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шилиш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тугатиш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банкротлик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арафасида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турганлар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; мол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мусодара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килинганлар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хамда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муассислик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келишув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молиявий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иштирок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, холдинг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шаклда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ифодаланган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бевосита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ташкилий-хукукий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бирига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молиявий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карамлиги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мавжудлар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3B5F5B" w:rsidP="00687290">
      <w:pPr>
        <w:pStyle w:val="1"/>
        <w:ind w:left="-851" w:right="1364" w:firstLine="0"/>
        <w:jc w:val="both"/>
        <w:rPr>
          <w:szCs w:val="24"/>
        </w:rPr>
      </w:pPr>
      <w:r w:rsidRPr="000F0FE8">
        <w:rPr>
          <w:szCs w:val="24"/>
        </w:rPr>
        <w:t>4.ТАНЛОВДА ИШТИ</w:t>
      </w:r>
      <w:r w:rsidRPr="000F0FE8">
        <w:rPr>
          <w:szCs w:val="24"/>
          <w:lang w:val="uz-Cyrl-UZ"/>
        </w:rPr>
        <w:t>РОК</w:t>
      </w:r>
      <w:r w:rsidR="00020E0A" w:rsidRPr="000F0FE8">
        <w:rPr>
          <w:szCs w:val="24"/>
        </w:rPr>
        <w:t xml:space="preserve"> ЭТИШ УЧУН ТАКЛИФЛАРНИ ТАКДИМ ЭТИШ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4.1.Танлов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унга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тегишли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иловалар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маълумотлар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ихти</w:t>
      </w:r>
      <w:proofErr w:type="spellEnd"/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ё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рига к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збек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рус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тилида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мумкин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4.2.Танлов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куйидагилар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лозим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3D" w:rsidRPr="000F0FE8" w:rsidRDefault="00020E0A" w:rsidP="00687290">
      <w:pPr>
        <w:spacing w:after="30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Техни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кисм</w:t>
      </w:r>
      <w:proofErr w:type="spellEnd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, ”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Буюртмачи</w:t>
      </w:r>
      <w:proofErr w:type="spellEnd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томонидан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йилган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талабларни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бажариладиган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хизматлар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рсатилиши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керак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C3D" w:rsidRPr="003F5F75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кисми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шартларида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доирасида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</w:t>
      </w:r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>зматларни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>бажариш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>муддатлари</w:t>
      </w:r>
      <w:proofErr w:type="spellEnd"/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>тў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ловлар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якуний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4D1D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ловлар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бошка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="004D1D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лик к</w:t>
      </w:r>
      <w:r w:rsidR="004D1D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рсаткичлар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D1D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рсат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г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керак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3F5F75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Танлов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иштирокчилари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хар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бир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таклифлар</w:t>
      </w:r>
      <w:r w:rsidR="00682CF2"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ни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82CF2"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яхлит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холд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а тикилган, номерланган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ваколатли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шахс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имзоси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ва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мухри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билан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тасдикланган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холда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ёки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хар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бир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варо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ини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мухрлаб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тасдиклаган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холда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такдим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этишлари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лозим.</w:t>
      </w:r>
    </w:p>
    <w:p w:rsidR="00921C3D" w:rsidRPr="003F5F75" w:rsidRDefault="00020E0A" w:rsidP="00687290">
      <w:pPr>
        <w:numPr>
          <w:ilvl w:val="0"/>
          <w:numId w:val="2"/>
        </w:num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3.Куйидаги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хужжатлар т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лик б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лиши талабэтилади:</w:t>
      </w:r>
    </w:p>
    <w:p w:rsidR="00921C3D" w:rsidRPr="000F0FE8" w:rsidRDefault="00682CF2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куйидаги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йхати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брошюралар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аспортлар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ўхшаш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хужжатлар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рў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йхати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илова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21C3D" w:rsidRPr="000F0FE8" w:rsidRDefault="00682CF2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жадвал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лдирилиши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илова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килиниши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лозим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28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4.4. Т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анлов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иштирокчиси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3D" w:rsidRPr="000F0FE8" w:rsidRDefault="003F5F75" w:rsidP="00687290">
      <w:pPr>
        <w:spacing w:after="146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бит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та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таклиф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бериши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мумкин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этилаётган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хужжатларнинг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хакикийлиги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маълумотларнинг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хакконийлигига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B664DC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лик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жавобгар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B664DC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лади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бериш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муддати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тугагунга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кадар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таклифларини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кайтариб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олиш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згартириш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қирити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хукукигаэга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pStyle w:val="1"/>
        <w:ind w:left="-851" w:right="1739" w:firstLine="0"/>
        <w:jc w:val="both"/>
        <w:rPr>
          <w:szCs w:val="24"/>
        </w:rPr>
      </w:pPr>
      <w:r w:rsidRPr="000F0FE8">
        <w:rPr>
          <w:szCs w:val="24"/>
        </w:rPr>
        <w:t>5.ТАКЛИФЛАРНИ ТАКДИМ ЭТИШ МУДДАТИНИ УЗАЙТИРИШ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5.1 .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Харид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комиссияси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кабул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килиш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муддатини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барча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таълукли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холда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эълон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килинган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муддатдан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яна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календар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кунга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узайтириши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мумкин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5.2.Таклифлар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муддатини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узайтир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факат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харид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комиссияси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йиғ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илиши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карори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асосида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амалга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оширилади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171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5.3.Танлов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муддатини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узайтириш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ту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рисидаги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карор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махсус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ахборот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порталида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жойлаштирилиши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лозим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pStyle w:val="1"/>
        <w:ind w:left="-851" w:right="1379" w:firstLine="0"/>
        <w:jc w:val="both"/>
        <w:rPr>
          <w:szCs w:val="24"/>
        </w:rPr>
      </w:pPr>
      <w:r w:rsidRPr="000F0FE8">
        <w:rPr>
          <w:szCs w:val="24"/>
        </w:rPr>
        <w:lastRenderedPageBreak/>
        <w:t>6.ТОМОНЛАРНИНГ ЖАВОБГАРЛИГИ</w:t>
      </w:r>
    </w:p>
    <w:p w:rsidR="00921C3D" w:rsidRPr="000F0FE8" w:rsidRDefault="005E6761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6.1.Давлат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харидлари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туғ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рисидаги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Конун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талабларини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бузган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шахслар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конунчиликда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жавобгар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ладилар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6.2.Харид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комиссиясидавлатхаридлари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конунчиликда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олиб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иштирокчиларни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ниқлаш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асосланган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карор</w:t>
      </w:r>
      <w:proofErr w:type="spellEnd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 xml:space="preserve"> кабул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килиш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мажбурдир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157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6.3.Танлов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иштирокчиси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этилган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барча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хужжатларни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хақиқийлиги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рилигига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жавобгардир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олиб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иштирочи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деб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топилгандан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сунг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конунчиликда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рнатилган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муддатларда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тузишга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мажбурдир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pStyle w:val="1"/>
        <w:ind w:left="-851" w:right="1379" w:firstLine="0"/>
        <w:jc w:val="both"/>
        <w:rPr>
          <w:szCs w:val="24"/>
        </w:rPr>
      </w:pPr>
      <w:r w:rsidRPr="000F0FE8">
        <w:rPr>
          <w:szCs w:val="24"/>
        </w:rPr>
        <w:t>7.БОШКА</w:t>
      </w:r>
      <w:r w:rsidR="005624B3">
        <w:rPr>
          <w:szCs w:val="24"/>
          <w:lang w:val="uz-Cyrl-UZ"/>
        </w:rPr>
        <w:t xml:space="preserve"> </w:t>
      </w:r>
      <w:r w:rsidRPr="000F0FE8">
        <w:rPr>
          <w:szCs w:val="24"/>
        </w:rPr>
        <w:t xml:space="preserve"> ШАРТЛАР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7.1 .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уюртмачиси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хужжатларига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згартиришлар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киритиш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рисида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этиш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бериш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тугайдиган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камида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кун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олдин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карор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кабул 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қилишга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хакли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хизматни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Узгартиришга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л к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йилмайди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Бунда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ушбу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тугайдиган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Узгартиришлар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киритилган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эътиборан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камида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2E4685">
        <w:rPr>
          <w:rFonts w:ascii="Times New Roman" w:eastAsia="Times New Roman" w:hAnsi="Times New Roman" w:cs="Times New Roman"/>
          <w:sz w:val="24"/>
          <w:szCs w:val="24"/>
        </w:rPr>
        <w:t>узайти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рилиши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керак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илан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вактда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эълонда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рсатилган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ахборот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згартирилган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лса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, та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нлов</w:t>
      </w:r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тказиш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рисидаги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эълонга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згартириш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киритилади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иштирокчиси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коидаларини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тказиш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эълонда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шаклда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тушунтириш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талаби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буюртмачисига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юборишга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хами</w:t>
      </w:r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келиб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эътибор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аникки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ичида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мазкур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тугайдиган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камид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икки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 xml:space="preserve"> кун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олдин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келиб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тушган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бўлса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ушбу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сў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ровга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шаклда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жавоб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юбориши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хужжатларининг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коидаларига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доир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тушунтиришлар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уларнинг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мазмун-мохиятини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згартирмаслиги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керак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DE1088" w:rsidP="00687290">
      <w:pPr>
        <w:numPr>
          <w:ilvl w:val="0"/>
          <w:numId w:val="3"/>
        </w:numPr>
        <w:spacing w:after="4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3.Таклифларни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риб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чикиш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бахолаш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баённомаси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харид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комиссиясининг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аъзолари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томонидан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мзоланади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хамда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ундан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олинган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чирма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имзолаган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кундан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эътиборан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куни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ичида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махсус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ахборот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порталида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эълон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қилинади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Танловнинг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алган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иштирокчиси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такливларни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риб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чикиш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бахолаш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баённомаси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эълон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килинганидан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буюртмачисига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натижаларига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доир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тушунтиришларни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>қд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этиш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ўғ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рисида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сў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ров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юборишгахакли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бундай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келиб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эътиборан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ичида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иштирокчисига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тегишли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тушунтиришларни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этиши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7.5.Танлов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натижалари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нлов</w:t>
      </w:r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хужжатларида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зи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тузилаётган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иштирокчиси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томонидан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берилган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таклифда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рсатилган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шартлар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асосида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тузилади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21C3D" w:rsidRPr="000F0FE8" w:rsidSect="00C405CB">
      <w:pgSz w:w="11902" w:h="16834"/>
      <w:pgMar w:top="567" w:right="1030" w:bottom="769" w:left="19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3.75pt;height:3.7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>
    <w:nsid w:val="02AB1730"/>
    <w:multiLevelType w:val="hybridMultilevel"/>
    <w:tmpl w:val="85DA6E9C"/>
    <w:lvl w:ilvl="0" w:tplc="AFAA8772">
      <w:start w:val="4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87AE4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0D930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E521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2256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7EFCB8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6BCE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EFEC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2220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F068D"/>
    <w:multiLevelType w:val="hybridMultilevel"/>
    <w:tmpl w:val="0C6E1222"/>
    <w:lvl w:ilvl="0" w:tplc="F36E8042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68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CD18E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EC6C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212DE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9221CE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82ADA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C05C8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680F2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816116"/>
    <w:multiLevelType w:val="hybridMultilevel"/>
    <w:tmpl w:val="A088FAA6"/>
    <w:lvl w:ilvl="0" w:tplc="3D847CEE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6BEC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EF38C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A4D0C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AA202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A8AC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85046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E682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88B42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21C3D"/>
    <w:rsid w:val="00020E0A"/>
    <w:rsid w:val="00037CB4"/>
    <w:rsid w:val="00085268"/>
    <w:rsid w:val="000F0FE8"/>
    <w:rsid w:val="00135BFA"/>
    <w:rsid w:val="0019521F"/>
    <w:rsid w:val="001E72C3"/>
    <w:rsid w:val="002E4685"/>
    <w:rsid w:val="003664B3"/>
    <w:rsid w:val="003B5F5B"/>
    <w:rsid w:val="003E4938"/>
    <w:rsid w:val="003F5F75"/>
    <w:rsid w:val="004422DE"/>
    <w:rsid w:val="004774F4"/>
    <w:rsid w:val="004B62CE"/>
    <w:rsid w:val="004D1DF2"/>
    <w:rsid w:val="004D60D4"/>
    <w:rsid w:val="005624B3"/>
    <w:rsid w:val="00585BCB"/>
    <w:rsid w:val="005A291E"/>
    <w:rsid w:val="005E6761"/>
    <w:rsid w:val="006152F4"/>
    <w:rsid w:val="00682CF2"/>
    <w:rsid w:val="00687290"/>
    <w:rsid w:val="006B0BAE"/>
    <w:rsid w:val="007A7841"/>
    <w:rsid w:val="007B50C1"/>
    <w:rsid w:val="007E7934"/>
    <w:rsid w:val="00833822"/>
    <w:rsid w:val="00887A83"/>
    <w:rsid w:val="008C3752"/>
    <w:rsid w:val="00900CEF"/>
    <w:rsid w:val="00921C3D"/>
    <w:rsid w:val="00AF37DF"/>
    <w:rsid w:val="00AF69CC"/>
    <w:rsid w:val="00B664DC"/>
    <w:rsid w:val="00B71B26"/>
    <w:rsid w:val="00B85C46"/>
    <w:rsid w:val="00BE20BF"/>
    <w:rsid w:val="00BE7A3B"/>
    <w:rsid w:val="00BE7A82"/>
    <w:rsid w:val="00C162E3"/>
    <w:rsid w:val="00C405CB"/>
    <w:rsid w:val="00C91A9F"/>
    <w:rsid w:val="00CE4D41"/>
    <w:rsid w:val="00D332BF"/>
    <w:rsid w:val="00D573F0"/>
    <w:rsid w:val="00D864F5"/>
    <w:rsid w:val="00DE1088"/>
    <w:rsid w:val="00F778DB"/>
    <w:rsid w:val="00FB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3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E4938"/>
    <w:pPr>
      <w:keepNext/>
      <w:keepLines/>
      <w:spacing w:after="76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4938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8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C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2022-05-05T08:33:00Z</cp:lastPrinted>
  <dcterms:created xsi:type="dcterms:W3CDTF">2022-07-04T13:05:00Z</dcterms:created>
  <dcterms:modified xsi:type="dcterms:W3CDTF">2022-07-04T13:09:00Z</dcterms:modified>
</cp:coreProperties>
</file>