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7B" w:rsidRDefault="00B13B7B">
      <w:pPr>
        <w:shd w:val="clear" w:color="auto" w:fill="FFFFFF"/>
        <w:autoSpaceDE w:val="0"/>
        <w:autoSpaceDN w:val="0"/>
        <w:adjustRightInd w:val="0"/>
        <w:ind w:firstLine="360"/>
        <w:jc w:val="center"/>
        <w:rPr>
          <w:color w:val="000000"/>
        </w:rPr>
      </w:pPr>
    </w:p>
    <w:p w:rsidR="00B13B7B" w:rsidRPr="00754FAD" w:rsidRDefault="00B13B7B">
      <w:pPr>
        <w:shd w:val="clear" w:color="auto" w:fill="FFFFFF"/>
        <w:autoSpaceDE w:val="0"/>
        <w:autoSpaceDN w:val="0"/>
        <w:adjustRightInd w:val="0"/>
        <w:ind w:firstLine="360"/>
        <w:jc w:val="center"/>
        <w:rPr>
          <w:b/>
          <w:color w:val="000000"/>
          <w:sz w:val="28"/>
          <w:szCs w:val="28"/>
          <w:lang w:val="uz-Cyrl-UZ"/>
        </w:rPr>
      </w:pPr>
      <w:r w:rsidRPr="00754FAD">
        <w:rPr>
          <w:b/>
          <w:color w:val="000000"/>
          <w:sz w:val="28"/>
          <w:szCs w:val="28"/>
        </w:rPr>
        <w:t>№</w:t>
      </w:r>
      <w:r w:rsidR="00B657E2" w:rsidRPr="00754FAD">
        <w:rPr>
          <w:b/>
          <w:color w:val="000000"/>
          <w:sz w:val="28"/>
          <w:szCs w:val="28"/>
        </w:rPr>
        <w:t>______</w:t>
      </w:r>
      <w:r w:rsidR="00A70D27" w:rsidRPr="00754FAD">
        <w:rPr>
          <w:b/>
          <w:color w:val="000000"/>
          <w:sz w:val="28"/>
          <w:szCs w:val="28"/>
        </w:rPr>
        <w:t xml:space="preserve">- </w:t>
      </w:r>
      <w:r w:rsidRPr="00754FAD">
        <w:rPr>
          <w:b/>
          <w:color w:val="000000"/>
          <w:sz w:val="28"/>
          <w:szCs w:val="28"/>
        </w:rPr>
        <w:t>сонли п</w:t>
      </w:r>
      <w:r w:rsidRPr="00754FAD">
        <w:rPr>
          <w:b/>
          <w:color w:val="000000"/>
          <w:sz w:val="28"/>
          <w:szCs w:val="28"/>
          <w:lang w:val="uz-Cyrl-UZ"/>
        </w:rPr>
        <w:t>удрат шартномаси</w:t>
      </w:r>
    </w:p>
    <w:p w:rsidR="00B13B7B" w:rsidRDefault="00B13B7B">
      <w:pPr>
        <w:rPr>
          <w:sz w:val="18"/>
        </w:rPr>
      </w:pPr>
    </w:p>
    <w:p w:rsidR="00B13B7B" w:rsidRPr="00754FAD" w:rsidRDefault="00A70D27">
      <w:pPr>
        <w:rPr>
          <w:sz w:val="20"/>
          <w:szCs w:val="20"/>
        </w:rPr>
      </w:pPr>
      <w:r w:rsidRPr="00754FAD">
        <w:rPr>
          <w:sz w:val="20"/>
          <w:szCs w:val="20"/>
        </w:rPr>
        <w:t xml:space="preserve">Жиззах </w:t>
      </w:r>
      <w:r w:rsidR="00B13B7B" w:rsidRPr="00754FAD">
        <w:rPr>
          <w:sz w:val="20"/>
          <w:szCs w:val="20"/>
        </w:rPr>
        <w:t xml:space="preserve">ш                                                      </w:t>
      </w:r>
      <w:r w:rsidRPr="00754FAD">
        <w:rPr>
          <w:sz w:val="20"/>
          <w:szCs w:val="20"/>
        </w:rPr>
        <w:t xml:space="preserve">                       </w:t>
      </w:r>
      <w:r w:rsidR="00B13B7B" w:rsidRPr="00754FAD">
        <w:rPr>
          <w:sz w:val="20"/>
          <w:szCs w:val="20"/>
        </w:rPr>
        <w:t xml:space="preserve">                                    </w:t>
      </w:r>
      <w:r w:rsidR="00754FAD">
        <w:rPr>
          <w:sz w:val="20"/>
          <w:szCs w:val="20"/>
          <w:lang w:val="uz-Cyrl-UZ"/>
        </w:rPr>
        <w:t xml:space="preserve">                  </w:t>
      </w:r>
      <w:r w:rsidRPr="00754FAD">
        <w:rPr>
          <w:sz w:val="20"/>
          <w:szCs w:val="20"/>
        </w:rPr>
        <w:t xml:space="preserve">           </w:t>
      </w:r>
      <w:r w:rsidR="00DB51A7" w:rsidRPr="00754FAD">
        <w:rPr>
          <w:sz w:val="20"/>
          <w:szCs w:val="20"/>
        </w:rPr>
        <w:t>20</w:t>
      </w:r>
      <w:r w:rsidRPr="00754FAD">
        <w:rPr>
          <w:sz w:val="20"/>
          <w:szCs w:val="20"/>
        </w:rPr>
        <w:t>2</w:t>
      </w:r>
      <w:r w:rsidR="00561F36">
        <w:rPr>
          <w:sz w:val="20"/>
          <w:szCs w:val="20"/>
          <w:lang w:val="en-US"/>
        </w:rPr>
        <w:t>2</w:t>
      </w:r>
      <w:r w:rsidRPr="00754FAD">
        <w:rPr>
          <w:sz w:val="20"/>
          <w:szCs w:val="20"/>
        </w:rPr>
        <w:t xml:space="preserve"> </w:t>
      </w:r>
      <w:r w:rsidR="00B13B7B" w:rsidRPr="00754FAD">
        <w:rPr>
          <w:sz w:val="20"/>
          <w:szCs w:val="20"/>
        </w:rPr>
        <w:t>й</w:t>
      </w:r>
      <w:r w:rsidRPr="00754FAD">
        <w:rPr>
          <w:sz w:val="20"/>
          <w:szCs w:val="20"/>
        </w:rPr>
        <w:t>ил</w:t>
      </w:r>
      <w:r w:rsidR="00B13B7B" w:rsidRPr="00754FAD">
        <w:rPr>
          <w:sz w:val="20"/>
          <w:szCs w:val="20"/>
        </w:rPr>
        <w:t xml:space="preserve">  </w:t>
      </w:r>
      <w:r w:rsidR="00754390" w:rsidRPr="00754FAD">
        <w:rPr>
          <w:sz w:val="20"/>
          <w:szCs w:val="20"/>
        </w:rPr>
        <w:t>____  _______</w:t>
      </w:r>
    </w:p>
    <w:p w:rsidR="00B13B7B" w:rsidRPr="00754FAD" w:rsidRDefault="00B13B7B">
      <w:pPr>
        <w:rPr>
          <w:sz w:val="20"/>
          <w:szCs w:val="20"/>
        </w:rPr>
      </w:pPr>
    </w:p>
    <w:p w:rsidR="00B13B7B" w:rsidRPr="00754FAD" w:rsidRDefault="00B13B7B">
      <w:pPr>
        <w:rPr>
          <w:sz w:val="20"/>
          <w:szCs w:val="20"/>
        </w:rPr>
      </w:pPr>
      <w:r w:rsidRPr="00754FAD">
        <w:rPr>
          <w:sz w:val="20"/>
          <w:szCs w:val="20"/>
        </w:rPr>
        <w:t>________________________________________________________________________</w:t>
      </w:r>
      <w:r w:rsidR="00754FAD">
        <w:rPr>
          <w:sz w:val="20"/>
          <w:szCs w:val="20"/>
        </w:rPr>
        <w:t>_______________</w:t>
      </w:r>
      <w:r w:rsidRPr="00754FAD">
        <w:rPr>
          <w:sz w:val="20"/>
          <w:szCs w:val="20"/>
        </w:rPr>
        <w:t>____________</w:t>
      </w:r>
    </w:p>
    <w:p w:rsidR="00B13B7B" w:rsidRPr="00754FAD" w:rsidRDefault="00B13B7B">
      <w:pPr>
        <w:autoSpaceDE w:val="0"/>
        <w:autoSpaceDN w:val="0"/>
        <w:adjustRightInd w:val="0"/>
        <w:spacing w:line="360" w:lineRule="auto"/>
        <w:jc w:val="center"/>
        <w:rPr>
          <w:i/>
          <w:sz w:val="20"/>
          <w:szCs w:val="20"/>
        </w:rPr>
      </w:pPr>
      <w:r w:rsidRPr="00754FAD">
        <w:rPr>
          <w:i/>
          <w:sz w:val="20"/>
          <w:szCs w:val="20"/>
        </w:rPr>
        <w:t>(корхонанинг номи ёки жисмоний шахснинг Ф.И.О)</w:t>
      </w:r>
    </w:p>
    <w:p w:rsidR="00B13B7B" w:rsidRPr="00754FAD" w:rsidRDefault="00B13B7B">
      <w:pPr>
        <w:autoSpaceDE w:val="0"/>
        <w:autoSpaceDN w:val="0"/>
        <w:adjustRightInd w:val="0"/>
        <w:spacing w:line="360" w:lineRule="auto"/>
        <w:rPr>
          <w:sz w:val="20"/>
          <w:szCs w:val="20"/>
          <w:lang w:val="uz-Cyrl-UZ"/>
        </w:rPr>
      </w:pPr>
      <w:r w:rsidRPr="00754FAD">
        <w:rPr>
          <w:sz w:val="20"/>
          <w:szCs w:val="20"/>
        </w:rPr>
        <w:t xml:space="preserve">(кейинги  </w:t>
      </w:r>
      <w:r w:rsidRPr="00754FAD">
        <w:rPr>
          <w:sz w:val="20"/>
          <w:szCs w:val="20"/>
          <w:lang w:val="uz-Cyrl-UZ"/>
        </w:rPr>
        <w:t>ўринларда “Буюртмачи”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_________________________________асосада фаолияти юритувчи</w:t>
      </w:r>
    </w:p>
    <w:p w:rsidR="00B13B7B" w:rsidRPr="00754FAD" w:rsidRDefault="00B13B7B">
      <w:pPr>
        <w:autoSpaceDE w:val="0"/>
        <w:autoSpaceDN w:val="0"/>
        <w:adjustRightInd w:val="0"/>
        <w:spacing w:line="360" w:lineRule="auto"/>
        <w:rPr>
          <w:i/>
          <w:sz w:val="20"/>
          <w:szCs w:val="20"/>
        </w:rPr>
      </w:pPr>
      <w:r w:rsidRPr="00754FAD">
        <w:rPr>
          <w:sz w:val="20"/>
          <w:szCs w:val="20"/>
        </w:rPr>
        <w:t xml:space="preserve">кейинги  </w:t>
      </w:r>
      <w:r w:rsidRPr="00754FAD">
        <w:rPr>
          <w:sz w:val="20"/>
          <w:szCs w:val="20"/>
          <w:lang w:val="uz-Cyrl-UZ"/>
        </w:rPr>
        <w:t>ўринларда “</w:t>
      </w:r>
      <w:r w:rsidRPr="00754FAD">
        <w:rPr>
          <w:sz w:val="20"/>
          <w:szCs w:val="20"/>
        </w:rPr>
        <w:t>Пудратчи</w:t>
      </w:r>
      <w:r w:rsidRPr="00754FAD">
        <w:rPr>
          <w:sz w:val="20"/>
          <w:szCs w:val="20"/>
          <w:lang w:val="uz-Cyrl-UZ"/>
        </w:rPr>
        <w:t>”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____________________________________________</w:t>
      </w:r>
      <w:r w:rsidR="00754FAD" w:rsidRPr="00754FAD">
        <w:rPr>
          <w:sz w:val="20"/>
          <w:szCs w:val="20"/>
        </w:rPr>
        <w:t>______</w:t>
      </w:r>
    </w:p>
    <w:p w:rsidR="00B13B7B" w:rsidRPr="00754FAD" w:rsidRDefault="00B13B7B" w:rsidP="00477323">
      <w:pPr>
        <w:autoSpaceDE w:val="0"/>
        <w:autoSpaceDN w:val="0"/>
        <w:adjustRightInd w:val="0"/>
        <w:rPr>
          <w:i/>
          <w:sz w:val="20"/>
          <w:szCs w:val="20"/>
        </w:rPr>
      </w:pPr>
      <w:r w:rsidRPr="00754FAD">
        <w:rPr>
          <w:sz w:val="20"/>
          <w:szCs w:val="20"/>
          <w:lang w:val="uz-Cyrl-UZ"/>
        </w:rPr>
        <w:t xml:space="preserve">__________________________________________________________________ </w:t>
      </w:r>
      <w:r w:rsidRPr="00754FAD">
        <w:rPr>
          <w:sz w:val="20"/>
          <w:szCs w:val="20"/>
        </w:rPr>
        <w:t xml:space="preserve">асосида </w:t>
      </w:r>
      <w:r w:rsidRPr="00754FAD">
        <w:rPr>
          <w:sz w:val="20"/>
          <w:szCs w:val="20"/>
          <w:lang w:val="uz-Cyrl-UZ"/>
        </w:rPr>
        <w:t xml:space="preserve">фаолият юритувчи </w:t>
      </w:r>
    </w:p>
    <w:p w:rsidR="00B13B7B" w:rsidRPr="00754FAD" w:rsidRDefault="00B13B7B" w:rsidP="00477323">
      <w:pPr>
        <w:autoSpaceDE w:val="0"/>
        <w:autoSpaceDN w:val="0"/>
        <w:adjustRightInd w:val="0"/>
        <w:spacing w:line="360" w:lineRule="auto"/>
        <w:rPr>
          <w:rFonts w:ascii="Arial" w:hAnsi="Arial"/>
          <w:b/>
          <w:color w:val="000000"/>
          <w:sz w:val="20"/>
          <w:szCs w:val="20"/>
          <w:lang w:val="uz-Cyrl-UZ"/>
        </w:rPr>
      </w:pPr>
      <w:r w:rsidRPr="00754FAD">
        <w:rPr>
          <w:sz w:val="20"/>
          <w:szCs w:val="20"/>
          <w:lang w:val="uz-Cyrl-UZ"/>
        </w:rPr>
        <w:t>мазкур шартномани куйидагилар хакида туздилар.</w:t>
      </w: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1.1. Пудратчи ўз зиммасига буюртмачининг топширигига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кабул килиб олиш ва бунинг учун хак тўлаш мажбуриятини олади.</w:t>
      </w:r>
    </w:p>
    <w:p w:rsidR="00F54858"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1.2. Пудратчи кейинги ўринларда “Ишлар” деб аталадиган куйидаги ишларни бажариш мажбуриятини олади:</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w:t>
      </w:r>
      <w:r w:rsidR="00754FAD">
        <w:rPr>
          <w:sz w:val="20"/>
          <w:szCs w:val="20"/>
          <w:lang w:val="en-US"/>
        </w:rPr>
        <w:t>_</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___________________________</w:t>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4"/>
        <w:gridCol w:w="3544"/>
        <w:gridCol w:w="1275"/>
        <w:gridCol w:w="709"/>
        <w:gridCol w:w="708"/>
        <w:gridCol w:w="851"/>
        <w:gridCol w:w="1002"/>
        <w:gridCol w:w="841"/>
        <w:gridCol w:w="1134"/>
      </w:tblGrid>
      <w:tr w:rsidR="00754FAD" w:rsidRPr="00754FAD" w:rsidTr="00482B9F">
        <w:tblPrEx>
          <w:tblCellMar>
            <w:top w:w="0" w:type="dxa"/>
            <w:bottom w:w="0" w:type="dxa"/>
          </w:tblCellMar>
        </w:tblPrEx>
        <w:tc>
          <w:tcPr>
            <w:tcW w:w="534" w:type="dxa"/>
            <w:tcBorders>
              <w:top w:val="double" w:sz="4" w:space="0" w:color="auto"/>
              <w:left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w:t>
            </w:r>
          </w:p>
        </w:tc>
        <w:tc>
          <w:tcPr>
            <w:tcW w:w="3544"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Маҳсулот номи</w:t>
            </w:r>
          </w:p>
        </w:tc>
        <w:tc>
          <w:tcPr>
            <w:tcW w:w="1275"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Фойдаланиш кафолат муддати (йил, ой, кун)</w:t>
            </w:r>
          </w:p>
        </w:tc>
        <w:tc>
          <w:tcPr>
            <w:tcW w:w="709"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Ўлчов бирлиги</w:t>
            </w:r>
          </w:p>
        </w:tc>
        <w:tc>
          <w:tcPr>
            <w:tcW w:w="708"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Сони</w:t>
            </w:r>
          </w:p>
        </w:tc>
        <w:tc>
          <w:tcPr>
            <w:tcW w:w="851" w:type="dxa"/>
            <w:tcBorders>
              <w:top w:val="double" w:sz="4" w:space="0" w:color="auto"/>
              <w:bottom w:val="double" w:sz="4" w:space="0" w:color="auto"/>
              <w:right w:val="sing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Қиймати</w:t>
            </w:r>
          </w:p>
        </w:tc>
        <w:tc>
          <w:tcPr>
            <w:tcW w:w="1002" w:type="dxa"/>
            <w:tcBorders>
              <w:top w:val="double" w:sz="4" w:space="0" w:color="auto"/>
              <w:bottom w:val="double" w:sz="4" w:space="0" w:color="auto"/>
              <w:right w:val="sing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Сумма</w:t>
            </w:r>
          </w:p>
        </w:tc>
        <w:tc>
          <w:tcPr>
            <w:tcW w:w="841" w:type="dxa"/>
            <w:tcBorders>
              <w:top w:val="double" w:sz="4" w:space="0" w:color="auto"/>
              <w:bottom w:val="double" w:sz="4" w:space="0" w:color="auto"/>
              <w:right w:val="doub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НДС</w:t>
            </w:r>
          </w:p>
          <w:p w:rsidR="00754FAD" w:rsidRPr="00754FAD" w:rsidRDefault="00754FAD" w:rsidP="00482B9F">
            <w:pPr>
              <w:spacing w:before="20" w:after="20"/>
              <w:jc w:val="center"/>
              <w:rPr>
                <w:sz w:val="20"/>
                <w:szCs w:val="20"/>
              </w:rPr>
            </w:pPr>
            <w:r w:rsidRPr="00754FAD">
              <w:rPr>
                <w:sz w:val="20"/>
                <w:szCs w:val="20"/>
              </w:rPr>
              <w:t>%</w:t>
            </w:r>
          </w:p>
        </w:tc>
        <w:tc>
          <w:tcPr>
            <w:tcW w:w="1134" w:type="dxa"/>
            <w:tcBorders>
              <w:top w:val="double" w:sz="4" w:space="0" w:color="auto"/>
              <w:left w:val="single" w:sz="4" w:space="0" w:color="auto"/>
              <w:bottom w:val="double" w:sz="4" w:space="0" w:color="auto"/>
              <w:right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Суммаси</w:t>
            </w:r>
          </w:p>
        </w:tc>
      </w:tr>
      <w:tr w:rsidR="00754FAD" w:rsidRPr="00754FAD" w:rsidTr="00482B9F">
        <w:tblPrEx>
          <w:tblCellMar>
            <w:top w:w="0" w:type="dxa"/>
            <w:bottom w:w="0" w:type="dxa"/>
          </w:tblCellMar>
        </w:tblPrEx>
        <w:tc>
          <w:tcPr>
            <w:tcW w:w="534" w:type="dxa"/>
            <w:tcBorders>
              <w:top w:val="double" w:sz="4" w:space="0" w:color="auto"/>
            </w:tcBorders>
          </w:tcPr>
          <w:p w:rsidR="00754FAD" w:rsidRPr="00754FAD" w:rsidRDefault="00754FAD" w:rsidP="00482B9F">
            <w:pPr>
              <w:jc w:val="center"/>
              <w:rPr>
                <w:sz w:val="20"/>
                <w:szCs w:val="20"/>
                <w:lang w:val="uz-Cyrl-UZ"/>
              </w:rPr>
            </w:pPr>
          </w:p>
        </w:tc>
        <w:tc>
          <w:tcPr>
            <w:tcW w:w="3544" w:type="dxa"/>
            <w:tcBorders>
              <w:top w:val="double" w:sz="4" w:space="0" w:color="auto"/>
            </w:tcBorders>
          </w:tcPr>
          <w:p w:rsidR="00754FAD" w:rsidRPr="00754FAD" w:rsidRDefault="00754FAD" w:rsidP="00482B9F">
            <w:pPr>
              <w:rPr>
                <w:sz w:val="20"/>
                <w:szCs w:val="20"/>
                <w:lang w:val="uz-Cyrl-UZ"/>
              </w:rPr>
            </w:pPr>
          </w:p>
        </w:tc>
        <w:tc>
          <w:tcPr>
            <w:tcW w:w="1275" w:type="dxa"/>
            <w:tcBorders>
              <w:top w:val="double" w:sz="4" w:space="0" w:color="auto"/>
            </w:tcBorders>
          </w:tcPr>
          <w:p w:rsidR="00754FAD" w:rsidRPr="00754FAD" w:rsidRDefault="00754FAD" w:rsidP="00482B9F">
            <w:pPr>
              <w:jc w:val="center"/>
              <w:rPr>
                <w:sz w:val="20"/>
                <w:szCs w:val="20"/>
              </w:rPr>
            </w:pPr>
          </w:p>
        </w:tc>
        <w:tc>
          <w:tcPr>
            <w:tcW w:w="709"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708"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851" w:type="dxa"/>
            <w:tcBorders>
              <w:top w:val="double" w:sz="4" w:space="0" w:color="auto"/>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top w:val="double" w:sz="4" w:space="0" w:color="auto"/>
              <w:right w:val="single" w:sz="4" w:space="0" w:color="auto"/>
            </w:tcBorders>
          </w:tcPr>
          <w:p w:rsidR="00754FAD" w:rsidRPr="00754FAD" w:rsidRDefault="00754FAD" w:rsidP="00482B9F">
            <w:pPr>
              <w:jc w:val="center"/>
              <w:rPr>
                <w:sz w:val="20"/>
                <w:szCs w:val="20"/>
                <w:lang w:val="uz-Cyrl-UZ"/>
              </w:rPr>
            </w:pPr>
          </w:p>
        </w:tc>
        <w:tc>
          <w:tcPr>
            <w:tcW w:w="841" w:type="dxa"/>
            <w:tcBorders>
              <w:top w:val="double" w:sz="4" w:space="0" w:color="auto"/>
              <w:right w:val="double" w:sz="4" w:space="0" w:color="auto"/>
            </w:tcBorders>
          </w:tcPr>
          <w:p w:rsidR="00754FAD" w:rsidRPr="00754FAD" w:rsidRDefault="00754FAD" w:rsidP="00482B9F">
            <w:pPr>
              <w:jc w:val="center"/>
              <w:rPr>
                <w:sz w:val="20"/>
                <w:szCs w:val="20"/>
                <w:lang w:val="uz-Cyrl-UZ"/>
              </w:rPr>
            </w:pPr>
          </w:p>
        </w:tc>
        <w:tc>
          <w:tcPr>
            <w:tcW w:w="1134" w:type="dxa"/>
            <w:tcBorders>
              <w:top w:val="double" w:sz="4"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r w:rsidR="00754FAD" w:rsidRPr="00754FAD" w:rsidTr="00482B9F">
        <w:tblPrEx>
          <w:tblCellMar>
            <w:top w:w="0" w:type="dxa"/>
            <w:bottom w:w="0" w:type="dxa"/>
          </w:tblCellMar>
        </w:tblPrEx>
        <w:tc>
          <w:tcPr>
            <w:tcW w:w="534" w:type="dxa"/>
          </w:tcPr>
          <w:p w:rsidR="00754FAD" w:rsidRPr="00754FAD" w:rsidRDefault="00754FAD" w:rsidP="00482B9F">
            <w:pPr>
              <w:jc w:val="center"/>
              <w:rPr>
                <w:sz w:val="20"/>
                <w:szCs w:val="20"/>
                <w:lang w:val="uz-Cyrl-UZ"/>
              </w:rPr>
            </w:pPr>
          </w:p>
        </w:tc>
        <w:tc>
          <w:tcPr>
            <w:tcW w:w="3544" w:type="dxa"/>
          </w:tcPr>
          <w:p w:rsidR="00754FAD" w:rsidRPr="00754FAD" w:rsidRDefault="00754FAD" w:rsidP="00482B9F">
            <w:pPr>
              <w:rPr>
                <w:sz w:val="20"/>
                <w:szCs w:val="20"/>
                <w:lang w:val="uz-Cyrl-UZ"/>
              </w:rPr>
            </w:pPr>
          </w:p>
        </w:tc>
        <w:tc>
          <w:tcPr>
            <w:tcW w:w="1275" w:type="dxa"/>
          </w:tcPr>
          <w:p w:rsidR="00754FAD" w:rsidRPr="00754FAD" w:rsidRDefault="00754FAD" w:rsidP="00482B9F">
            <w:pPr>
              <w:jc w:val="center"/>
              <w:rPr>
                <w:sz w:val="20"/>
                <w:szCs w:val="20"/>
                <w:lang w:val="uz-Cyrl-UZ"/>
              </w:rPr>
            </w:pPr>
          </w:p>
        </w:tc>
        <w:tc>
          <w:tcPr>
            <w:tcW w:w="709" w:type="dxa"/>
            <w:shd w:val="clear" w:color="auto" w:fill="auto"/>
          </w:tcPr>
          <w:p w:rsidR="00754FAD" w:rsidRPr="00754FAD" w:rsidRDefault="00754FAD" w:rsidP="00482B9F">
            <w:pPr>
              <w:jc w:val="center"/>
              <w:rPr>
                <w:sz w:val="20"/>
                <w:szCs w:val="20"/>
                <w:lang w:val="uz-Cyrl-UZ"/>
              </w:rPr>
            </w:pPr>
          </w:p>
        </w:tc>
        <w:tc>
          <w:tcPr>
            <w:tcW w:w="708" w:type="dxa"/>
            <w:shd w:val="clear" w:color="auto" w:fill="auto"/>
          </w:tcPr>
          <w:p w:rsidR="00754FAD" w:rsidRPr="00754FAD" w:rsidRDefault="00754FAD" w:rsidP="00482B9F">
            <w:pPr>
              <w:jc w:val="center"/>
              <w:rPr>
                <w:sz w:val="20"/>
                <w:szCs w:val="20"/>
                <w:lang w:val="uz-Cyrl-UZ"/>
              </w:rPr>
            </w:pPr>
          </w:p>
        </w:tc>
        <w:tc>
          <w:tcPr>
            <w:tcW w:w="851" w:type="dxa"/>
            <w:tcBorders>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right w:val="single" w:sz="4" w:space="0" w:color="auto"/>
            </w:tcBorders>
          </w:tcPr>
          <w:p w:rsidR="00754FAD" w:rsidRPr="00754FAD" w:rsidRDefault="00754FAD" w:rsidP="00482B9F">
            <w:pPr>
              <w:jc w:val="center"/>
              <w:rPr>
                <w:sz w:val="20"/>
                <w:szCs w:val="20"/>
                <w:lang w:val="uz-Cyrl-UZ"/>
              </w:rPr>
            </w:pPr>
          </w:p>
        </w:tc>
        <w:tc>
          <w:tcPr>
            <w:tcW w:w="841" w:type="dxa"/>
            <w:tcBorders>
              <w:right w:val="double" w:sz="4" w:space="0" w:color="auto"/>
            </w:tcBorders>
          </w:tcPr>
          <w:p w:rsidR="00754FAD" w:rsidRPr="00754FAD" w:rsidRDefault="00754FAD" w:rsidP="00482B9F">
            <w:pPr>
              <w:jc w:val="center"/>
              <w:rPr>
                <w:sz w:val="20"/>
                <w:szCs w:val="20"/>
                <w:lang w:val="uz-Cyrl-UZ"/>
              </w:rPr>
            </w:pPr>
          </w:p>
        </w:tc>
        <w:tc>
          <w:tcPr>
            <w:tcW w:w="1134" w:type="dxa"/>
            <w:tcBorders>
              <w:top w:val="single" w:sz="6"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bl>
    <w:p w:rsidR="00754FAD" w:rsidRPr="00754FAD" w:rsidRDefault="00754FAD">
      <w:pPr>
        <w:autoSpaceDE w:val="0"/>
        <w:autoSpaceDN w:val="0"/>
        <w:adjustRightInd w:val="0"/>
        <w:spacing w:line="360" w:lineRule="auto"/>
        <w:ind w:firstLine="360"/>
        <w:jc w:val="both"/>
        <w:rPr>
          <w:sz w:val="20"/>
          <w:szCs w:val="20"/>
          <w:lang w:val="uz-Cyrl-UZ"/>
        </w:rPr>
      </w:pP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Кўрсатилган иш</w:t>
      </w:r>
      <w:r w:rsidR="00DB51A7" w:rsidRPr="00754FAD">
        <w:rPr>
          <w:sz w:val="20"/>
          <w:szCs w:val="20"/>
          <w:lang w:val="uz-Cyrl-UZ"/>
        </w:rPr>
        <w:t>ларни бажариш учун буюртмачи 20</w:t>
      </w:r>
      <w:r w:rsidRPr="00754FAD">
        <w:rPr>
          <w:sz w:val="20"/>
          <w:szCs w:val="20"/>
          <w:lang w:val="uz-Cyrl-UZ"/>
        </w:rPr>
        <w:t>____й. «____» ______________га кадар пудратчига зарурий лойиха-смета хужжатлари, техник харитлар тахдим этиш мажбуриятини олади.</w:t>
      </w:r>
    </w:p>
    <w:p w:rsidR="00B13B7B" w:rsidRPr="00754FAD" w:rsidRDefault="00B13B7B">
      <w:pPr>
        <w:numPr>
          <w:ilvl w:val="1"/>
          <w:numId w:val="1"/>
        </w:numPr>
        <w:autoSpaceDE w:val="0"/>
        <w:autoSpaceDN w:val="0"/>
        <w:adjustRightInd w:val="0"/>
        <w:spacing w:line="360" w:lineRule="auto"/>
        <w:jc w:val="both"/>
        <w:rPr>
          <w:sz w:val="20"/>
          <w:szCs w:val="20"/>
          <w:lang w:val="uz-Cyrl-UZ"/>
        </w:rPr>
      </w:pPr>
      <w:r w:rsidRPr="00754FAD">
        <w:rPr>
          <w:sz w:val="20"/>
          <w:szCs w:val="20"/>
          <w:lang w:val="uz-Cyrl-UZ"/>
        </w:rPr>
        <w:t>Пудратчи ишларни ўзининг материалларидан, ўзининг асбоб-ускунасида ва ўзининг инструментлари билан бажаради.</w:t>
      </w:r>
    </w:p>
    <w:p w:rsidR="00B13B7B" w:rsidRPr="00754FAD" w:rsidRDefault="00B13B7B">
      <w:pPr>
        <w:numPr>
          <w:ilvl w:val="1"/>
          <w:numId w:val="1"/>
        </w:numPr>
        <w:autoSpaceDE w:val="0"/>
        <w:autoSpaceDN w:val="0"/>
        <w:adjustRightInd w:val="0"/>
        <w:spacing w:line="360" w:lineRule="auto"/>
        <w:rPr>
          <w:sz w:val="20"/>
          <w:szCs w:val="20"/>
          <w:lang w:val="uz-Cyrl-UZ"/>
        </w:rPr>
      </w:pPr>
      <w:r w:rsidRPr="00754FAD">
        <w:rPr>
          <w:sz w:val="20"/>
          <w:szCs w:val="20"/>
        </w:rPr>
        <w:t>Ишларни бажариш муддати:</w:t>
      </w:r>
    </w:p>
    <w:p w:rsidR="00B13B7B" w:rsidRPr="00754FAD" w:rsidRDefault="00DB51A7">
      <w:pPr>
        <w:autoSpaceDE w:val="0"/>
        <w:autoSpaceDN w:val="0"/>
        <w:adjustRightInd w:val="0"/>
        <w:spacing w:line="360" w:lineRule="auto"/>
        <w:rPr>
          <w:sz w:val="20"/>
          <w:szCs w:val="20"/>
          <w:lang w:val="uz-Cyrl-UZ"/>
        </w:rPr>
      </w:pPr>
      <w:r w:rsidRPr="00754FAD">
        <w:rPr>
          <w:sz w:val="20"/>
          <w:szCs w:val="20"/>
          <w:lang w:val="uz-Cyrl-UZ"/>
        </w:rPr>
        <w:t>20</w:t>
      </w:r>
      <w:r w:rsidR="00B13B7B" w:rsidRPr="00754FAD">
        <w:rPr>
          <w:sz w:val="20"/>
          <w:szCs w:val="20"/>
        </w:rPr>
        <w:t>___</w:t>
      </w:r>
      <w:r w:rsidR="00B13B7B" w:rsidRPr="00754FAD">
        <w:rPr>
          <w:sz w:val="20"/>
          <w:szCs w:val="20"/>
          <w:lang w:val="uz-Cyrl-UZ"/>
        </w:rPr>
        <w:t xml:space="preserve">й.  </w:t>
      </w:r>
      <w:r w:rsidR="00B13B7B" w:rsidRPr="00754FAD">
        <w:rPr>
          <w:sz w:val="20"/>
          <w:szCs w:val="20"/>
        </w:rPr>
        <w:t>«______» ________________</w:t>
      </w:r>
      <w:r w:rsidR="00B13B7B" w:rsidRPr="00754FAD">
        <w:rPr>
          <w:sz w:val="20"/>
          <w:szCs w:val="20"/>
          <w:lang w:val="uz-Cyrl-UZ"/>
        </w:rPr>
        <w:t>дан</w:t>
      </w:r>
    </w:p>
    <w:p w:rsidR="00B13B7B" w:rsidRPr="00754FAD" w:rsidRDefault="00B13B7B">
      <w:pPr>
        <w:autoSpaceDE w:val="0"/>
        <w:autoSpaceDN w:val="0"/>
        <w:adjustRightInd w:val="0"/>
        <w:spacing w:line="360" w:lineRule="auto"/>
        <w:rPr>
          <w:sz w:val="20"/>
          <w:szCs w:val="20"/>
        </w:rPr>
      </w:pPr>
      <w:r w:rsidRPr="00754FAD">
        <w:rPr>
          <w:sz w:val="20"/>
          <w:szCs w:val="20"/>
          <w:lang w:val="uz-Cyrl-UZ"/>
        </w:rPr>
        <w:t>20</w:t>
      </w:r>
      <w:r w:rsidRPr="00754FAD">
        <w:rPr>
          <w:sz w:val="20"/>
          <w:szCs w:val="20"/>
        </w:rPr>
        <w:t>___</w:t>
      </w:r>
      <w:r w:rsidRPr="00754FAD">
        <w:rPr>
          <w:sz w:val="20"/>
          <w:szCs w:val="20"/>
          <w:lang w:val="uz-Cyrl-UZ"/>
        </w:rPr>
        <w:t xml:space="preserve">й. </w:t>
      </w:r>
      <w:r w:rsidRPr="00754FAD">
        <w:rPr>
          <w:sz w:val="20"/>
          <w:szCs w:val="20"/>
        </w:rPr>
        <w:t xml:space="preserve"> «______»</w:t>
      </w:r>
      <w:r w:rsidRPr="00754FAD">
        <w:rPr>
          <w:sz w:val="20"/>
          <w:szCs w:val="20"/>
          <w:lang w:val="uz-Cyrl-UZ"/>
        </w:rPr>
        <w:t xml:space="preserve"> </w:t>
      </w:r>
      <w:r w:rsidRPr="00754FAD">
        <w:rPr>
          <w:sz w:val="20"/>
          <w:szCs w:val="20"/>
        </w:rPr>
        <w:t>________________</w:t>
      </w:r>
      <w:r w:rsidRPr="00754FAD">
        <w:rPr>
          <w:sz w:val="20"/>
          <w:szCs w:val="20"/>
          <w:lang w:val="uz-Cyrl-UZ"/>
        </w:rPr>
        <w:t>гача</w:t>
      </w:r>
      <w:r w:rsidRPr="00754FAD">
        <w:rPr>
          <w:sz w:val="20"/>
          <w:szCs w:val="20"/>
        </w:rPr>
        <w:t>.</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Пудратчи ишларни олдин бажариш хухухига эга (эга эмас).</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1.4.1. Ишлар буюртмачи ёки унинг ваколатли вакили томонидан ишларни кабул килиш-топшириш далолатномаси имзолангандан кейин бажарилган деб хисобланади.</w:t>
      </w: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Буюртмачи пудратчига шартнома кийматининг </w:t>
      </w:r>
      <w:r w:rsidR="00561F36">
        <w:rPr>
          <w:sz w:val="20"/>
          <w:szCs w:val="20"/>
          <w:lang w:val="uz-Latn-UZ"/>
        </w:rPr>
        <w:t>30</w:t>
      </w:r>
      <w:bookmarkStart w:id="0" w:name="_GoBack"/>
      <w:bookmarkEnd w:id="0"/>
      <w:r w:rsidRPr="00754FAD">
        <w:rPr>
          <w:sz w:val="20"/>
          <w:szCs w:val="20"/>
          <w:lang w:val="uz-Cyrl-UZ"/>
        </w:rPr>
        <w:t xml:space="preserve"> % микдорида бунак туловларини амалга оширади. Ишларни кабул илишда аникланган нухсон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маблакни буюртмачига  узил-кесил, хисоб-китоб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 ва  «____»_______</w:t>
      </w:r>
      <w:r w:rsidR="00DB51A7" w:rsidRPr="00754FAD">
        <w:rPr>
          <w:sz w:val="20"/>
          <w:szCs w:val="20"/>
          <w:lang w:val="uz-Cyrl-UZ"/>
        </w:rPr>
        <w:t>_____20</w:t>
      </w:r>
      <w:r w:rsidR="00B13B7B" w:rsidRPr="00754FAD">
        <w:rPr>
          <w:sz w:val="20"/>
          <w:szCs w:val="20"/>
          <w:lang w:val="uz-Cyrl-UZ"/>
        </w:rPr>
        <w:t xml:space="preserve">___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Тарафларнинг хукук ва мажбуриятлари</w:t>
      </w:r>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Pr="00754FAD">
        <w:rPr>
          <w:sz w:val="20"/>
          <w:szCs w:val="20"/>
        </w:rPr>
        <w:t>Пудратчининг мажбуриятлари: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r w:rsidRPr="00754FAD">
        <w:rPr>
          <w:sz w:val="20"/>
          <w:szCs w:val="20"/>
        </w:rPr>
        <w:t>Ишларни лозим бўлган сифатда бажариш</w:t>
      </w:r>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сахлашни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субпудрат шартномаларини тузгани тугрисида буюртмачига ахборот бериши ва у томондан ишларнинг бажарилиши юзасидан назоратни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3.1.5. Ишларнинг натижасини буюртмачига топшириш.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чикишга йўл кўйган бўлса, буюртмачининг талабига биноан аникланган барча камчиликларни _____кун ичида текинга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3.2. Пудратчи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3.2.1. Буюртмачи томонидан мазкур шартноманинг 3-бандида кўрсатилган хак тўлаш мажбурияти бажарилмаганда, пудратчи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3.3. Буюртмачининг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3.3.1. Пудратчидан ишлар тугалланганлиги хакида хабарнома олгандан кейин ____кун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шартномадан четга чикишлар ёки ишлардаги бошка камчиликлар аникланганда, булар хакида пудратчига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Буюртмачи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пудратчининг фаолиятига аралашмаган холда у томонидан бажариладиган ишларнинг бориш жараёни ва сифатини текшириш.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3.4.2. Буюртмачи иш натижаси ўзига топширилгунга кадар истаган вактда шартномадан воз кечиб, белгиланган бахонинг буюртмачи шартномани бажаришдан воз кечганлиги тўхрисидаги хабарнома олингунга кадар бажарилган ишлар кисмига мутоносиб кисмини пудратчига тўлаш. Бунда буртмачи пудратчига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Шартноманинг бахоси ва хисоблашишлар тартиби</w:t>
      </w:r>
    </w:p>
    <w:p w:rsidR="00B13B7B" w:rsidRPr="00754FAD" w:rsidRDefault="00B13B7B">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 __________________________________________________________________________________</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_________________________________________________________________________________________________сўмни ташкил килади.</w:t>
      </w:r>
    </w:p>
    <w:p w:rsidR="00493758" w:rsidRPr="00754FAD" w:rsidRDefault="00493758">
      <w:pPr>
        <w:autoSpaceDE w:val="0"/>
        <w:autoSpaceDN w:val="0"/>
        <w:adjustRightInd w:val="0"/>
        <w:spacing w:line="360" w:lineRule="auto"/>
        <w:rPr>
          <w:sz w:val="20"/>
          <w:szCs w:val="20"/>
        </w:rPr>
      </w:pPr>
      <w:r w:rsidRPr="00754FAD">
        <w:rPr>
          <w:sz w:val="20"/>
          <w:szCs w:val="20"/>
          <w:lang w:val="uz-Cyrl-UZ"/>
        </w:rPr>
        <w:t xml:space="preserve">        4.2 Ушбу шартнома бўйича тўлов</w:t>
      </w:r>
      <w:r w:rsidR="00754390" w:rsidRPr="00754FAD">
        <w:rPr>
          <w:sz w:val="20"/>
          <w:szCs w:val="20"/>
        </w:rPr>
        <w:t xml:space="preserve"> аванс </w:t>
      </w:r>
      <w:r w:rsidRPr="00754FAD">
        <w:rPr>
          <w:sz w:val="20"/>
          <w:szCs w:val="20"/>
        </w:rPr>
        <w:t>асосида амалга оширилади.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Буюртмачи томонидан пудратчига шартнома бахосини тўлаш бажарувчининг мазкур шартномада кўрсатилган хисоб-китоб хисобваракига пул маблахларини кўчириш йўли билан амалга оширилади.</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 xml:space="preserve">Тарафларнинг жавобгарлиги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_____%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5.2. Бажарилган ишлар хакини ўз вактида тўламаганлик учун буюртмачи пудратчига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B13B7B" w:rsidP="0098066F">
      <w:pPr>
        <w:numPr>
          <w:ilvl w:val="0"/>
          <w:numId w:val="10"/>
        </w:numPr>
        <w:tabs>
          <w:tab w:val="num" w:pos="0"/>
        </w:tabs>
        <w:autoSpaceDE w:val="0"/>
        <w:autoSpaceDN w:val="0"/>
        <w:adjustRightInd w:val="0"/>
        <w:spacing w:line="360" w:lineRule="auto"/>
        <w:jc w:val="center"/>
        <w:rPr>
          <w:b/>
          <w:sz w:val="20"/>
          <w:szCs w:val="20"/>
          <w:lang w:val="uz-Cyrl-UZ"/>
        </w:rPr>
      </w:pPr>
      <w:r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754FAD" w:rsidRDefault="00B13B7B" w:rsidP="0098066F">
      <w:pPr>
        <w:numPr>
          <w:ilvl w:val="0"/>
          <w:numId w:val="10"/>
        </w:numPr>
        <w:tabs>
          <w:tab w:val="num" w:pos="0"/>
        </w:tabs>
        <w:autoSpaceDE w:val="0"/>
        <w:autoSpaceDN w:val="0"/>
        <w:adjustRightInd w:val="0"/>
        <w:spacing w:line="360" w:lineRule="auto"/>
        <w:jc w:val="center"/>
        <w:rPr>
          <w:b/>
          <w:sz w:val="20"/>
          <w:szCs w:val="20"/>
        </w:rPr>
      </w:pPr>
      <w:r w:rsidRPr="00754FAD">
        <w:rPr>
          <w:b/>
          <w:sz w:val="20"/>
          <w:szCs w:val="20"/>
        </w:rPr>
        <w:t>Форс-мажор холатлари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pPr>
        <w:numPr>
          <w:ilvl w:val="0"/>
          <w:numId w:val="10"/>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754FAD" w:rsidRDefault="00B13B7B">
      <w:pPr>
        <w:autoSpaceDE w:val="0"/>
        <w:autoSpaceDN w:val="0"/>
        <w:adjustRightInd w:val="0"/>
        <w:spacing w:line="360" w:lineRule="auto"/>
        <w:ind w:firstLine="360"/>
        <w:jc w:val="both"/>
        <w:rPr>
          <w:rFonts w:ascii="Virtec Courier New Uz" w:hAnsi="Virtec Courier New Uz"/>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p>
    <w:p w:rsidR="00B13B7B" w:rsidRPr="00754FAD" w:rsidRDefault="00B13B7B">
      <w:pPr>
        <w:autoSpaceDE w:val="0"/>
        <w:autoSpaceDN w:val="0"/>
        <w:adjustRightInd w:val="0"/>
        <w:jc w:val="both"/>
        <w:rPr>
          <w:rFonts w:ascii="Virtec Courier New Uz" w:hAnsi="Virtec Courier New Uz"/>
          <w:sz w:val="20"/>
          <w:szCs w:val="20"/>
        </w:rPr>
      </w:pPr>
      <w:r w:rsidRPr="00754FAD">
        <w:rPr>
          <w:rFonts w:ascii="Virtec Courier New Uz" w:hAnsi="Virtec Courier New Uz"/>
          <w:sz w:val="20"/>
          <w:szCs w:val="20"/>
          <w:lang w:val="uz-Cyrl-UZ"/>
        </w:rPr>
        <w:t>_________________________________________________________________________________</w:t>
      </w:r>
      <w:r w:rsidRPr="00754FAD">
        <w:rPr>
          <w:rFonts w:ascii="Virtec Courier New Uz" w:hAnsi="Virtec Courier New Uz"/>
          <w:sz w:val="20"/>
          <w:szCs w:val="20"/>
        </w:rPr>
        <w:t>___</w:t>
      </w:r>
      <w:r w:rsidR="00477323" w:rsidRPr="00754FAD">
        <w:rPr>
          <w:rFonts w:ascii="Virtec Courier New Uz" w:hAnsi="Virtec Courier New Uz"/>
          <w:sz w:val="20"/>
          <w:szCs w:val="20"/>
        </w:rPr>
        <w:t>да</w:t>
      </w:r>
    </w:p>
    <w:p w:rsidR="00B13B7B" w:rsidRPr="00754FAD" w:rsidRDefault="00B13B7B">
      <w:pPr>
        <w:autoSpaceDE w:val="0"/>
        <w:autoSpaceDN w:val="0"/>
        <w:adjustRightInd w:val="0"/>
        <w:spacing w:line="360" w:lineRule="auto"/>
        <w:ind w:left="360"/>
        <w:jc w:val="center"/>
        <w:rPr>
          <w:i/>
          <w:sz w:val="20"/>
          <w:szCs w:val="20"/>
        </w:rPr>
      </w:pPr>
      <w:r w:rsidRPr="00754FAD">
        <w:rPr>
          <w:i/>
          <w:sz w:val="20"/>
          <w:szCs w:val="20"/>
        </w:rPr>
        <w:t>(Тарафлар томонидан низоларни  хал этиш учун танланган</w:t>
      </w:r>
    </w:p>
    <w:p w:rsidR="00B13B7B" w:rsidRPr="00754FAD" w:rsidRDefault="00B13B7B" w:rsidP="00477323">
      <w:pPr>
        <w:autoSpaceDE w:val="0"/>
        <w:autoSpaceDN w:val="0"/>
        <w:adjustRightInd w:val="0"/>
        <w:spacing w:line="360" w:lineRule="auto"/>
        <w:jc w:val="both"/>
        <w:rPr>
          <w:rFonts w:ascii="Arial" w:hAnsi="Arial"/>
          <w:sz w:val="20"/>
          <w:szCs w:val="20"/>
        </w:rPr>
      </w:pPr>
      <w:r w:rsidRPr="00754FAD">
        <w:rPr>
          <w:sz w:val="20"/>
          <w:szCs w:val="20"/>
        </w:rPr>
        <w:t>к</w:t>
      </w:r>
      <w:r w:rsidRPr="00754FAD">
        <w:rPr>
          <w:sz w:val="20"/>
          <w:szCs w:val="20"/>
          <w:lang w:val="uz-Cyrl-UZ"/>
        </w:rPr>
        <w:t>ўриб чикишга топширадилар.</w:t>
      </w:r>
    </w:p>
    <w:p w:rsidR="00B13B7B" w:rsidRPr="00754FAD" w:rsidRDefault="00B13B7B">
      <w:pPr>
        <w:numPr>
          <w:ilvl w:val="0"/>
          <w:numId w:val="10"/>
        </w:numPr>
        <w:autoSpaceDE w:val="0"/>
        <w:autoSpaceDN w:val="0"/>
        <w:adjustRightInd w:val="0"/>
        <w:spacing w:line="360" w:lineRule="auto"/>
        <w:jc w:val="center"/>
        <w:rPr>
          <w:rFonts w:ascii="Arial" w:hAnsi="Arial"/>
          <w:sz w:val="20"/>
          <w:szCs w:val="20"/>
        </w:rPr>
      </w:pPr>
      <w:r w:rsidRPr="00754FAD">
        <w:rPr>
          <w:rFonts w:ascii="Arial" w:hAnsi="Arial"/>
          <w:b/>
          <w:color w:val="000000"/>
          <w:sz w:val="20"/>
          <w:szCs w:val="20"/>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r w:rsidRPr="00754FAD">
        <w:rPr>
          <w:sz w:val="20"/>
          <w:szCs w:val="20"/>
        </w:rPr>
        <w:t>ў</w:t>
      </w:r>
      <w:r w:rsidRPr="00754FAD">
        <w:rPr>
          <w:sz w:val="20"/>
          <w:szCs w:val="20"/>
          <w:lang w:val="uz-Cyrl-UZ"/>
        </w:rPr>
        <w:t xml:space="preserve">шимча ва </w:t>
      </w:r>
      <w:r w:rsidRPr="00754FAD">
        <w:rPr>
          <w:sz w:val="20"/>
          <w:szCs w:val="20"/>
        </w:rPr>
        <w:t>ў</w:t>
      </w:r>
      <w:r w:rsidRPr="00754FAD">
        <w:rPr>
          <w:sz w:val="20"/>
          <w:szCs w:val="20"/>
          <w:lang w:val="uz-Cyrl-UZ"/>
        </w:rPr>
        <w:t>згартишлар ёзма равишда расмийлаштирилиб, хар иккала тараф имзолаган холлардагина хакикий кучга эга б</w:t>
      </w:r>
      <w:r w:rsidRPr="00754FAD">
        <w:rPr>
          <w:sz w:val="20"/>
          <w:szCs w:val="20"/>
        </w:rPr>
        <w:t>ў</w:t>
      </w:r>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8.3. Буюртмачи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8.4.  Пудратчи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-Буюртмачи томонидан пудратчига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 xml:space="preserve">-Буюртмачи томонидан кейинчалик </w:t>
      </w:r>
      <w:r w:rsidRPr="00754FAD">
        <w:rPr>
          <w:sz w:val="20"/>
          <w:szCs w:val="20"/>
        </w:rPr>
        <w:t>ишларни</w:t>
      </w:r>
      <w:r w:rsidRPr="00754FAD">
        <w:rPr>
          <w:sz w:val="20"/>
          <w:szCs w:val="20"/>
          <w:lang w:val="uz-Cyrl-UZ"/>
        </w:rPr>
        <w:t xml:space="preserve"> молиялаш имконияти й</w:t>
      </w:r>
      <w:r w:rsidRPr="00754FAD">
        <w:rPr>
          <w:sz w:val="20"/>
          <w:szCs w:val="20"/>
        </w:rPr>
        <w:t>ўк</w:t>
      </w:r>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477323"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8.6.  Шартномани бекор килишга карор килган тараф бошка тарафга ёзма хабарнома юборади.</w:t>
      </w:r>
    </w:p>
    <w:p w:rsidR="00B13B7B" w:rsidRPr="00754FAD" w:rsidRDefault="00B13B7B">
      <w:pPr>
        <w:numPr>
          <w:ilvl w:val="0"/>
          <w:numId w:val="10"/>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тузилди.Иккала нусха айнан бир хил ва тенг кучга эга.Тарафларнинг хар бирида мазкур шартноманинг бир нусхаси мавжуд.</w:t>
      </w:r>
    </w:p>
    <w:p w:rsidR="00B13B7B" w:rsidRPr="00754FAD" w:rsidRDefault="00B13B7B">
      <w:pPr>
        <w:numPr>
          <w:ilvl w:val="1"/>
          <w:numId w:val="11"/>
        </w:numPr>
        <w:autoSpaceDE w:val="0"/>
        <w:autoSpaceDN w:val="0"/>
        <w:adjustRightInd w:val="0"/>
        <w:spacing w:line="360" w:lineRule="auto"/>
        <w:jc w:val="both"/>
        <w:rPr>
          <w:sz w:val="20"/>
          <w:szCs w:val="20"/>
        </w:rPr>
      </w:pPr>
      <w:r w:rsidRPr="00754FAD">
        <w:rPr>
          <w:sz w:val="20"/>
          <w:szCs w:val="20"/>
        </w:rPr>
        <w:t>Шартномага илова____________________________________________________________________________________________</w:t>
      </w:r>
    </w:p>
    <w:p w:rsidR="00B13B7B" w:rsidRPr="00754FAD" w:rsidRDefault="00B13B7B" w:rsidP="00477323">
      <w:pPr>
        <w:autoSpaceDE w:val="0"/>
        <w:autoSpaceDN w:val="0"/>
        <w:adjustRightInd w:val="0"/>
        <w:spacing w:line="360" w:lineRule="auto"/>
        <w:jc w:val="both"/>
        <w:rPr>
          <w:b/>
          <w:sz w:val="20"/>
          <w:szCs w:val="20"/>
          <w:lang w:val="uz-Cyrl-UZ"/>
        </w:rPr>
      </w:pPr>
      <w:r w:rsidRPr="00754FAD">
        <w:rPr>
          <w:rFonts w:ascii="Virtec Courier New Uz" w:hAnsi="Virtec Courier New Uz"/>
          <w:sz w:val="20"/>
          <w:szCs w:val="20"/>
          <w:lang w:val="uz-Cyrl-UZ"/>
        </w:rPr>
        <w:t xml:space="preserve">   </w:t>
      </w:r>
      <w:r w:rsidR="00477323" w:rsidRPr="00754FAD">
        <w:rPr>
          <w:rFonts w:ascii="Virtec Courier New Uz" w:hAnsi="Virtec Courier New Uz"/>
          <w:sz w:val="20"/>
          <w:szCs w:val="20"/>
          <w:lang w:val="uz-Cyrl-UZ"/>
        </w:rPr>
        <w:t xml:space="preserve">              </w:t>
      </w:r>
      <w:r w:rsidRPr="00754FAD">
        <w:rPr>
          <w:b/>
          <w:sz w:val="20"/>
          <w:szCs w:val="20"/>
        </w:rPr>
        <w:t>Тарафларнинг  манзиллари  ва  банк  реквизитлари</w:t>
      </w:r>
    </w:p>
    <w:tbl>
      <w:tblPr>
        <w:tblW w:w="0" w:type="auto"/>
        <w:tblInd w:w="90" w:type="dxa"/>
        <w:tblLayout w:type="fixed"/>
        <w:tblLook w:val="0000" w:firstRow="0" w:lastRow="0" w:firstColumn="0" w:lastColumn="0" w:noHBand="0" w:noVBand="0"/>
      </w:tblPr>
      <w:tblGrid>
        <w:gridCol w:w="18"/>
        <w:gridCol w:w="4500"/>
        <w:gridCol w:w="540"/>
        <w:gridCol w:w="236"/>
        <w:gridCol w:w="304"/>
        <w:gridCol w:w="4332"/>
        <w:gridCol w:w="168"/>
      </w:tblGrid>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Буюрмачи: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Ижрочи:</w:t>
            </w:r>
          </w:p>
        </w:tc>
      </w:tr>
      <w:tr w:rsidR="00B13B7B" w:rsidRPr="00754FAD" w:rsidTr="00493758">
        <w:tblPrEx>
          <w:tblCellMar>
            <w:top w:w="0" w:type="dxa"/>
            <w:bottom w:w="0" w:type="dxa"/>
          </w:tblCellMar>
        </w:tblPrEx>
        <w:trPr>
          <w:trHeight w:val="16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34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w:t>
            </w:r>
          </w:p>
        </w:tc>
      </w:tr>
      <w:tr w:rsidR="00B13B7B" w:rsidRPr="00754FAD" w:rsidTr="00493758">
        <w:tblPrEx>
          <w:tblCellMar>
            <w:top w:w="0" w:type="dxa"/>
            <w:bottom w:w="0" w:type="dxa"/>
          </w:tblCellMar>
        </w:tblPrEx>
        <w:trPr>
          <w:trHeight w:val="16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СТИР________________________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СТИР</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1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4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ОКОНХ______________________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ОКОНХ</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25"/>
        </w:trPr>
        <w:tc>
          <w:tcPr>
            <w:tcW w:w="5058"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1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Телефон/факс____________________________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w:t>
            </w:r>
            <w:r w:rsidR="00C540B0" w:rsidRPr="00754FAD">
              <w:rPr>
                <w:sz w:val="20"/>
                <w:szCs w:val="20"/>
                <w:lang w:val="uz-Cyrl-UZ"/>
              </w:rPr>
              <w:t>н/факс</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r w:rsidR="00C540B0" w:rsidRPr="00754FAD">
              <w:rPr>
                <w:sz w:val="20"/>
                <w:szCs w:val="20"/>
                <w:lang w:val="uz-Cyrl-UZ"/>
              </w:rPr>
              <w:t xml:space="preserve">х/р: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банки__________________________________</w:t>
            </w:r>
            <w:r w:rsidRPr="00754FAD">
              <w:rPr>
                <w:sz w:val="20"/>
                <w:szCs w:val="20"/>
              </w:rPr>
              <w:t>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МФО 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C540B0">
            <w:pPr>
              <w:jc w:val="both"/>
              <w:rPr>
                <w:sz w:val="20"/>
                <w:szCs w:val="20"/>
                <w:lang w:val="uz-Cyrl-UZ"/>
              </w:rPr>
            </w:pPr>
            <w:r w:rsidRPr="00754FAD">
              <w:rPr>
                <w:sz w:val="20"/>
                <w:szCs w:val="20"/>
                <w:lang w:val="uz-Cyrl-UZ"/>
              </w:rPr>
              <w:t xml:space="preserve">МФО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 xml:space="preserve"> </w:t>
            </w:r>
            <w:r w:rsidRPr="00754FAD">
              <w:rPr>
                <w:sz w:val="20"/>
                <w:szCs w:val="20"/>
                <w:lang w:val="uz-Cyrl-UZ"/>
              </w:rPr>
              <w:t>Буюр</w:t>
            </w:r>
            <w:r w:rsidRPr="00754FAD">
              <w:rPr>
                <w:sz w:val="20"/>
                <w:szCs w:val="20"/>
              </w:rPr>
              <w:t>т</w:t>
            </w:r>
            <w:r w:rsidRPr="00754FAD">
              <w:rPr>
                <w:sz w:val="20"/>
                <w:szCs w:val="20"/>
                <w:lang w:val="uz-Cyrl-UZ"/>
              </w:rPr>
              <w:t>мачи:</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Пудратчи</w:t>
            </w:r>
            <w:r w:rsidRPr="00754FAD">
              <w:rPr>
                <w:sz w:val="20"/>
                <w:szCs w:val="20"/>
                <w:lang w:val="uz-Cyrl-UZ"/>
              </w:rPr>
              <w:t>:</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r w:rsidRPr="00754FAD">
              <w:rPr>
                <w:sz w:val="20"/>
                <w:szCs w:val="20"/>
                <w:lang w:val="uz-Cyrl-UZ"/>
              </w:rPr>
              <w:t xml:space="preserve"> </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p w:rsidR="00C540B0" w:rsidRPr="00754FAD" w:rsidRDefault="00C540B0" w:rsidP="00C540B0">
            <w:pPr>
              <w:autoSpaceDE w:val="0"/>
              <w:autoSpaceDN w:val="0"/>
              <w:adjustRightInd w:val="0"/>
              <w:jc w:val="both"/>
              <w:rPr>
                <w:sz w:val="20"/>
                <w:szCs w:val="20"/>
                <w:lang w:val="uz-Cyrl-UZ"/>
              </w:rPr>
            </w:pPr>
            <w:r w:rsidRPr="00754FAD">
              <w:rPr>
                <w:sz w:val="20"/>
                <w:szCs w:val="20"/>
                <w:lang w:val="uz-Cyrl-UZ"/>
              </w:rPr>
              <w:t xml:space="preserve">Бошлик: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single" w:sz="6" w:space="0" w:color="auto"/>
              <w:right w:val="nil"/>
            </w:tcBorders>
            <w:vAlign w:val="center"/>
          </w:tcPr>
          <w:p w:rsidR="00B13B7B" w:rsidRPr="00754FAD" w:rsidRDefault="00B13B7B">
            <w:pPr>
              <w:jc w:val="both"/>
              <w:rPr>
                <w:rFonts w:ascii="Baltica" w:hAnsi="Baltica"/>
                <w:sz w:val="20"/>
                <w:szCs w:val="20"/>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single" w:sz="6" w:space="0" w:color="auto"/>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vAlign w:val="center"/>
          </w:tcPr>
          <w:p w:rsidR="00B13B7B" w:rsidRPr="00754FAD" w:rsidRDefault="00B13B7B">
            <w:pPr>
              <w:jc w:val="both"/>
              <w:rPr>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Height w:val="144"/>
        </w:trPr>
        <w:tc>
          <w:tcPr>
            <w:tcW w:w="4500" w:type="dxa"/>
            <w:tcBorders>
              <w:top w:val="nil"/>
              <w:left w:val="nil"/>
              <w:bottom w:val="nil"/>
              <w:right w:val="nil"/>
            </w:tcBorders>
            <w:vAlign w:val="center"/>
          </w:tcPr>
          <w:p w:rsidR="00B13B7B" w:rsidRPr="00754FAD" w:rsidRDefault="00B13B7B">
            <w:pPr>
              <w:jc w:val="both"/>
              <w:rPr>
                <w:rFonts w:ascii="Baltica" w:hAnsi="Baltica"/>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bl>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p>
    <w:p w:rsidR="00B13B7B" w:rsidRPr="00754FAD" w:rsidRDefault="00B13B7B">
      <w:pPr>
        <w:shd w:val="clear" w:color="auto" w:fill="FFFFFF"/>
        <w:autoSpaceDE w:val="0"/>
        <w:autoSpaceDN w:val="0"/>
        <w:adjustRightInd w:val="0"/>
        <w:ind w:firstLine="360"/>
        <w:jc w:val="both"/>
        <w:rPr>
          <w:sz w:val="20"/>
          <w:szCs w:val="20"/>
          <w:lang w:val="uz-Cyrl-UZ"/>
        </w:rPr>
      </w:pPr>
    </w:p>
    <w:sectPr w:rsidR="00B13B7B" w:rsidRPr="00754FAD">
      <w:footerReference w:type="even" r:id="rId7"/>
      <w:footerReference w:type="default" r:id="rId8"/>
      <w:pgSz w:w="11906" w:h="16838"/>
      <w:pgMar w:top="567" w:right="567"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C4" w:rsidRDefault="00056FC4">
      <w:r>
        <w:separator/>
      </w:r>
    </w:p>
  </w:endnote>
  <w:endnote w:type="continuationSeparator" w:id="0">
    <w:p w:rsidR="00056FC4" w:rsidRDefault="0005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Baltic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61F36">
      <w:rPr>
        <w:rStyle w:val="a4"/>
        <w:noProof/>
      </w:rPr>
      <w:t>2</w:t>
    </w:r>
    <w:r>
      <w:rPr>
        <w:rStyle w:val="a4"/>
      </w:rPr>
      <w:fldChar w:fldCharType="end"/>
    </w:r>
  </w:p>
  <w:p w:rsidR="00B13B7B" w:rsidRDefault="00B13B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C4" w:rsidRDefault="00056FC4">
      <w:r>
        <w:separator/>
      </w:r>
    </w:p>
  </w:footnote>
  <w:footnote w:type="continuationSeparator" w:id="0">
    <w:p w:rsidR="00056FC4" w:rsidRDefault="0005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5E011C77"/>
    <w:multiLevelType w:val="hybridMultilevel"/>
    <w:tmpl w:val="05F60A84"/>
    <w:lvl w:ilvl="0">
      <w:start w:val="1"/>
      <w:numFmt w:val="decimal"/>
      <w:lvlText w:val="%1."/>
      <w:lvlJc w:val="left"/>
      <w:pPr>
        <w:tabs>
          <w:tab w:val="num" w:pos="720"/>
        </w:tabs>
        <w:ind w:left="720" w:hanging="360"/>
      </w:pPr>
      <w:rPr>
        <w:b/>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B31B35"/>
    <w:multiLevelType w:val="hybridMultilevel"/>
    <w:tmpl w:val="C31A3D84"/>
    <w:lvl w:ilvl="0">
      <w:start w:val="4"/>
      <w:numFmt w:val="decimal"/>
      <w:lvlText w:val="%1."/>
      <w:lvlJc w:val="left"/>
      <w:pPr>
        <w:tabs>
          <w:tab w:val="num" w:pos="916"/>
        </w:tabs>
        <w:ind w:left="916" w:hanging="360"/>
      </w:pPr>
      <w:rPr>
        <w:rFonts w:hint="default"/>
        <w:b/>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A6"/>
    <w:rsid w:val="0002589B"/>
    <w:rsid w:val="000520BC"/>
    <w:rsid w:val="00056FC4"/>
    <w:rsid w:val="00150FB1"/>
    <w:rsid w:val="001A1156"/>
    <w:rsid w:val="001B2402"/>
    <w:rsid w:val="002E72CF"/>
    <w:rsid w:val="002F16FF"/>
    <w:rsid w:val="003613D3"/>
    <w:rsid w:val="003667FE"/>
    <w:rsid w:val="00404839"/>
    <w:rsid w:val="00427060"/>
    <w:rsid w:val="00477323"/>
    <w:rsid w:val="00482B9F"/>
    <w:rsid w:val="00493758"/>
    <w:rsid w:val="004F0CDC"/>
    <w:rsid w:val="00561F36"/>
    <w:rsid w:val="00682620"/>
    <w:rsid w:val="00720061"/>
    <w:rsid w:val="00733242"/>
    <w:rsid w:val="00754390"/>
    <w:rsid w:val="00754FAD"/>
    <w:rsid w:val="00772C5F"/>
    <w:rsid w:val="00881A52"/>
    <w:rsid w:val="00886237"/>
    <w:rsid w:val="00887566"/>
    <w:rsid w:val="0098066F"/>
    <w:rsid w:val="00A13CA6"/>
    <w:rsid w:val="00A70D27"/>
    <w:rsid w:val="00A74E7D"/>
    <w:rsid w:val="00B13B7B"/>
    <w:rsid w:val="00B657E2"/>
    <w:rsid w:val="00BB06FF"/>
    <w:rsid w:val="00BF60E7"/>
    <w:rsid w:val="00C20FF9"/>
    <w:rsid w:val="00C540B0"/>
    <w:rsid w:val="00C6520E"/>
    <w:rsid w:val="00C84E49"/>
    <w:rsid w:val="00C95521"/>
    <w:rsid w:val="00CD1C23"/>
    <w:rsid w:val="00D13A55"/>
    <w:rsid w:val="00D81F35"/>
    <w:rsid w:val="00DB51A7"/>
    <w:rsid w:val="00E80EDE"/>
    <w:rsid w:val="00EB19B3"/>
    <w:rsid w:val="00F32350"/>
    <w:rsid w:val="00F5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ECE0"/>
  <w15:chartTrackingRefBased/>
  <w15:docId w15:val="{5B9C7479-BF19-4A17-B530-A10F4733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table" w:styleId="a5">
    <w:name w:val="Table Grid"/>
    <w:basedOn w:val="a1"/>
    <w:uiPriority w:val="59"/>
    <w:rsid w:val="00052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subject/>
  <dc:creator>KazEgamkulov</dc:creator>
  <cp:keywords/>
  <cp:lastModifiedBy>Пользователь</cp:lastModifiedBy>
  <cp:revision>2</cp:revision>
  <cp:lastPrinted>2021-04-13T02:40:00Z</cp:lastPrinted>
  <dcterms:created xsi:type="dcterms:W3CDTF">2022-04-30T10:00:00Z</dcterms:created>
  <dcterms:modified xsi:type="dcterms:W3CDTF">2022-04-30T10:00:00Z</dcterms:modified>
</cp:coreProperties>
</file>