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9E6EB3" w:rsidRPr="000678C3" w:rsidRDefault="009E6EB3"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Default="009E6EB3" w:rsidP="00901C9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_____________________</w:t>
            </w:r>
            <w:r w:rsidR="00CB136A" w:rsidRPr="000678C3">
              <w:rPr>
                <w:rFonts w:ascii="Times New Roman" w:hAnsi="Times New Roman" w:cs="Times New Roman"/>
                <w:i/>
                <w:sz w:val="24"/>
                <w:szCs w:val="24"/>
              </w:rPr>
              <w:t>учун хизмат курсатиш</w:t>
            </w:r>
            <w:r w:rsidR="00CB136A">
              <w:rPr>
                <w:rFonts w:ascii="Times New Roman" w:hAnsi="Times New Roman" w:cs="Times New Roman"/>
                <w:i/>
                <w:sz w:val="24"/>
                <w:szCs w:val="24"/>
              </w:rPr>
              <w:t xml:space="preserve"> лот ____________</w:t>
            </w:r>
          </w:p>
          <w:p w:rsidR="009E6EB3" w:rsidRPr="000678C3" w:rsidRDefault="009E6EB3" w:rsidP="00901C94">
            <w:pPr>
              <w:spacing w:after="0" w:line="240" w:lineRule="auto"/>
              <w:jc w:val="center"/>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9E6EB3" w:rsidRDefault="009E6EB3" w:rsidP="00901C94">
            <w:pPr>
              <w:spacing w:after="0" w:line="240" w:lineRule="auto"/>
              <w:rPr>
                <w:rFonts w:ascii="Times New Roman" w:eastAsia="Times New Roman" w:hAnsi="Times New Roman" w:cs="Times New Roman"/>
                <w:b/>
                <w:color w:val="000000"/>
                <w:sz w:val="24"/>
                <w:szCs w:val="24"/>
                <w:lang w:eastAsia="ru-RU"/>
              </w:rPr>
            </w:pPr>
            <w:r w:rsidRPr="009E6EB3">
              <w:rPr>
                <w:rFonts w:ascii="Times New Roman" w:eastAsia="Times New Roman" w:hAnsi="Times New Roman" w:cs="Times New Roman"/>
                <w:b/>
                <w:color w:val="000000"/>
                <w:sz w:val="24"/>
                <w:szCs w:val="24"/>
                <w:lang w:eastAsia="ru-RU"/>
              </w:rPr>
              <w:t>Гулистон</w:t>
            </w:r>
            <w:r w:rsidR="00CB136A" w:rsidRPr="009E6EB3">
              <w:rPr>
                <w:rFonts w:ascii="Times New Roman" w:eastAsia="Times New Roman" w:hAnsi="Times New Roman" w:cs="Times New Roman"/>
                <w:b/>
                <w:color w:val="000000"/>
                <w:sz w:val="24"/>
                <w:szCs w:val="24"/>
                <w:lang w:eastAsia="ru-RU"/>
              </w:rPr>
              <w:t xml:space="preserve">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9E6EB3" w:rsidRDefault="00CB136A" w:rsidP="00901C94">
            <w:pPr>
              <w:spacing w:after="0" w:line="240" w:lineRule="auto"/>
              <w:jc w:val="right"/>
              <w:rPr>
                <w:rFonts w:ascii="Times New Roman" w:eastAsia="Times New Roman" w:hAnsi="Times New Roman" w:cs="Times New Roman"/>
                <w:b/>
                <w:color w:val="000000"/>
                <w:sz w:val="24"/>
                <w:szCs w:val="24"/>
                <w:lang w:eastAsia="ru-RU"/>
              </w:rPr>
            </w:pPr>
            <w:r w:rsidRPr="009E6EB3">
              <w:rPr>
                <w:rFonts w:ascii="Times New Roman" w:eastAsia="Times New Roman" w:hAnsi="Times New Roman" w:cs="Times New Roman"/>
                <w:b/>
                <w:color w:val="000000"/>
                <w:sz w:val="24"/>
                <w:szCs w:val="24"/>
                <w:lang w:eastAsia="ru-RU"/>
              </w:rPr>
              <w:t>2022 йил «_____» 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9E6EB3" w:rsidRDefault="009E6EB3" w:rsidP="00901C94">
            <w:pPr>
              <w:spacing w:after="0" w:line="240" w:lineRule="auto"/>
              <w:jc w:val="both"/>
              <w:rPr>
                <w:rFonts w:ascii="Times New Roman" w:hAnsi="Times New Roman" w:cs="Times New Roman"/>
                <w:sz w:val="24"/>
                <w:szCs w:val="24"/>
              </w:rPr>
            </w:pPr>
          </w:p>
          <w:p w:rsidR="00CB136A" w:rsidRPr="000678C3" w:rsidRDefault="00CB136A" w:rsidP="0094788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w:t>
            </w:r>
            <w:r w:rsidR="009E6EB3">
              <w:rPr>
                <w:rFonts w:ascii="Times New Roman" w:hAnsi="Times New Roman" w:cs="Times New Roman"/>
                <w:sz w:val="24"/>
                <w:szCs w:val="24"/>
              </w:rPr>
              <w:t>___________________</w:t>
            </w:r>
            <w:r>
              <w:rPr>
                <w:rFonts w:ascii="Times New Roman" w:hAnsi="Times New Roman" w:cs="Times New Roman"/>
                <w:sz w:val="24"/>
                <w:szCs w:val="24"/>
              </w:rPr>
              <w:t>_</w:t>
            </w:r>
            <w:r w:rsidR="00947884">
              <w:rPr>
                <w:rFonts w:ascii="Times New Roman" w:hAnsi="Times New Roman" w:cs="Times New Roman"/>
                <w:sz w:val="24"/>
                <w:szCs w:val="24"/>
              </w:rPr>
              <w:t>_______________</w:t>
            </w:r>
            <w:bookmarkStart w:id="0" w:name="_GoBack"/>
            <w:bookmarkEnd w:id="0"/>
            <w:r>
              <w:rPr>
                <w:rFonts w:ascii="Times New Roman" w:hAnsi="Times New Roman" w:cs="Times New Roman"/>
                <w:sz w:val="24"/>
                <w:szCs w:val="24"/>
              </w:rPr>
              <w:t>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sidR="00947884" w:rsidRPr="00947884">
              <w:rPr>
                <w:rFonts w:ascii="Times New Roman" w:hAnsi="Times New Roman" w:cs="Times New Roman"/>
                <w:b/>
                <w:i/>
                <w:sz w:val="24"/>
                <w:szCs w:val="24"/>
              </w:rPr>
              <w:t>Гулистон шахар тиббиёт бирлашмаси</w:t>
            </w:r>
            <w:r w:rsidR="00947884">
              <w:rPr>
                <w:rFonts w:ascii="Times New Roman" w:hAnsi="Times New Roman" w:cs="Times New Roman"/>
                <w:sz w:val="24"/>
                <w:szCs w:val="24"/>
              </w:rPr>
              <w:t>,</w:t>
            </w:r>
            <w:r w:rsidRPr="000678C3">
              <w:rPr>
                <w:rFonts w:ascii="Times New Roman" w:hAnsi="Times New Roman" w:cs="Times New Roman"/>
                <w:sz w:val="24"/>
                <w:szCs w:val="24"/>
              </w:rPr>
              <w:t xml:space="preserve"> бундан кейин «БУЮРТМАЧИ» деб юритилади, низом асосида ишлайдиган </w:t>
            </w:r>
            <w:r w:rsidR="00947884">
              <w:rPr>
                <w:rFonts w:ascii="Times New Roman" w:hAnsi="Times New Roman" w:cs="Times New Roman"/>
                <w:sz w:val="24"/>
                <w:szCs w:val="24"/>
              </w:rPr>
              <w:t xml:space="preserve">бош шифокор </w:t>
            </w:r>
            <w:r w:rsidR="00947884" w:rsidRPr="00947884">
              <w:rPr>
                <w:rFonts w:ascii="Times New Roman" w:hAnsi="Times New Roman" w:cs="Times New Roman"/>
                <w:b/>
                <w:i/>
                <w:sz w:val="24"/>
                <w:szCs w:val="24"/>
              </w:rPr>
              <w:t>Ю.Мирхонов</w:t>
            </w:r>
            <w:r w:rsidRPr="000678C3">
              <w:rPr>
                <w:rFonts w:ascii="Times New Roman" w:hAnsi="Times New Roman" w:cs="Times New Roman"/>
                <w:sz w:val="24"/>
                <w:szCs w:val="24"/>
              </w:rPr>
              <w:t xml:space="preserve">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947884" w:rsidRDefault="00947884" w:rsidP="009E6EB3">
            <w:pPr>
              <w:spacing w:after="0" w:line="240" w:lineRule="auto"/>
              <w:jc w:val="center"/>
              <w:rPr>
                <w:rFonts w:ascii="Times New Roman" w:eastAsia="Times New Roman" w:hAnsi="Times New Roman" w:cs="Times New Roman"/>
                <w:b/>
                <w:bCs/>
                <w:color w:val="000000"/>
                <w:sz w:val="24"/>
                <w:szCs w:val="24"/>
                <w:lang w:eastAsia="ru-RU"/>
              </w:rPr>
            </w:pPr>
          </w:p>
          <w:p w:rsidR="00CB136A" w:rsidRPr="00947884" w:rsidRDefault="00CB136A" w:rsidP="00947884">
            <w:pPr>
              <w:pStyle w:val="a4"/>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947884">
              <w:rPr>
                <w:rFonts w:ascii="Times New Roman" w:eastAsia="Times New Roman" w:hAnsi="Times New Roman" w:cs="Times New Roman"/>
                <w:b/>
                <w:bCs/>
                <w:color w:val="000000"/>
                <w:sz w:val="24"/>
                <w:szCs w:val="24"/>
                <w:lang w:eastAsia="ru-RU"/>
              </w:rPr>
              <w:t>Шартнома предмети</w:t>
            </w:r>
          </w:p>
          <w:p w:rsidR="00947884" w:rsidRPr="00947884" w:rsidRDefault="00947884" w:rsidP="00947884">
            <w:pPr>
              <w:pStyle w:val="a4"/>
              <w:spacing w:after="0" w:line="240" w:lineRule="auto"/>
              <w:ind w:left="1080"/>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r w:rsidR="009E6EB3">
              <w:rPr>
                <w:rFonts w:ascii="Times New Roman" w:hAnsi="Times New Roman" w:cs="Times New Roman"/>
                <w:sz w:val="24"/>
                <w:szCs w:val="24"/>
              </w:rPr>
              <w:t>.</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947884" w:rsidRDefault="00947884" w:rsidP="009E6EB3">
            <w:pPr>
              <w:spacing w:after="0" w:line="240" w:lineRule="auto"/>
              <w:jc w:val="center"/>
              <w:rPr>
                <w:rFonts w:ascii="Times New Roman" w:eastAsia="Times New Roman" w:hAnsi="Times New Roman" w:cs="Times New Roman"/>
                <w:b/>
                <w:bCs/>
                <w:color w:val="000000"/>
                <w:sz w:val="24"/>
                <w:szCs w:val="24"/>
                <w:lang w:eastAsia="ru-RU"/>
              </w:rPr>
            </w:pPr>
          </w:p>
          <w:p w:rsidR="00CB136A" w:rsidRDefault="00CB136A" w:rsidP="009E6EB3">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p w:rsidR="00947884" w:rsidRPr="000678C3" w:rsidRDefault="00947884" w:rsidP="009E6EB3">
            <w:pPr>
              <w:spacing w:after="0" w:line="240" w:lineRule="auto"/>
              <w:jc w:val="center"/>
              <w:rPr>
                <w:rFonts w:ascii="Times New Roman" w:eastAsia="Times New Roman" w:hAnsi="Times New Roman" w:cs="Times New Roman"/>
                <w:color w:val="000000"/>
                <w:sz w:val="24"/>
                <w:szCs w:val="24"/>
                <w:lang w:eastAsia="ru-RU"/>
              </w:rPr>
            </w:pP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Pr="000678C3" w:rsidRDefault="00CB136A" w:rsidP="00947884">
            <w:pPr>
              <w:spacing w:after="0" w:line="240" w:lineRule="auto"/>
              <w:jc w:val="both"/>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4788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2.2.2. </w:t>
            </w:r>
            <w:r w:rsidR="00947884">
              <w:rPr>
                <w:rFonts w:ascii="Times New Roman" w:eastAsia="Times New Roman" w:hAnsi="Times New Roman" w:cs="Times New Roman"/>
                <w:color w:val="000000"/>
                <w:sz w:val="24"/>
                <w:szCs w:val="24"/>
                <w:lang w:eastAsia="ru-RU"/>
              </w:rPr>
              <w:t>Х</w:t>
            </w:r>
            <w:r w:rsidRPr="000678C3">
              <w:rPr>
                <w:rFonts w:ascii="Times New Roman" w:eastAsia="Times New Roman" w:hAnsi="Times New Roman" w:cs="Times New Roman"/>
                <w:color w:val="000000"/>
                <w:sz w:val="24"/>
                <w:szCs w:val="24"/>
                <w:lang w:eastAsia="ru-RU"/>
              </w:rPr>
              <w:t>измат</w:t>
            </w:r>
            <w:r w:rsidR="00947884">
              <w:rPr>
                <w:rFonts w:ascii="Times New Roman" w:eastAsia="Times New Roman" w:hAnsi="Times New Roman" w:cs="Times New Roman"/>
                <w:color w:val="000000"/>
                <w:sz w:val="24"/>
                <w:szCs w:val="24"/>
                <w:lang w:eastAsia="ru-RU"/>
              </w:rPr>
              <w:t>лар</w:t>
            </w:r>
            <w:r w:rsidRPr="000678C3">
              <w:rPr>
                <w:rFonts w:ascii="Times New Roman" w:eastAsia="Times New Roman" w:hAnsi="Times New Roman" w:cs="Times New Roman"/>
                <w:color w:val="000000"/>
                <w:sz w:val="24"/>
                <w:szCs w:val="24"/>
                <w:lang w:eastAsia="ru-RU"/>
              </w:rPr>
              <w:t>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4788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2.2.3. </w:t>
            </w:r>
            <w:r w:rsidR="00947884">
              <w:rPr>
                <w:rFonts w:ascii="Times New Roman" w:eastAsia="Times New Roman" w:hAnsi="Times New Roman" w:cs="Times New Roman"/>
                <w:color w:val="000000"/>
                <w:sz w:val="24"/>
                <w:szCs w:val="24"/>
                <w:lang w:eastAsia="ru-RU"/>
              </w:rPr>
              <w:t>Х</w:t>
            </w:r>
            <w:r w:rsidRPr="000678C3">
              <w:rPr>
                <w:rFonts w:ascii="Times New Roman" w:eastAsia="Times New Roman" w:hAnsi="Times New Roman" w:cs="Times New Roman"/>
                <w:color w:val="000000"/>
                <w:sz w:val="24"/>
                <w:szCs w:val="24"/>
                <w:lang w:eastAsia="ru-RU"/>
              </w:rPr>
              <w:t>изматларининг сифатли бажарилиши</w:t>
            </w:r>
            <w:r w:rsidRPr="000678C3">
              <w:rPr>
                <w:rFonts w:ascii="Times New Roman" w:hAnsi="Times New Roman" w:cs="Times New Roman"/>
                <w:sz w:val="24"/>
                <w:szCs w:val="24"/>
              </w:rPr>
              <w:t xml:space="preserve">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p w:rsidR="00947884" w:rsidRPr="000678C3" w:rsidRDefault="00947884" w:rsidP="00901C94">
            <w:pPr>
              <w:spacing w:after="0" w:line="240" w:lineRule="auto"/>
              <w:jc w:val="center"/>
              <w:rPr>
                <w:rFonts w:ascii="Times New Roman" w:eastAsia="Times New Roman" w:hAnsi="Times New Roman" w:cs="Times New Roman"/>
                <w:color w:val="000000"/>
                <w:sz w:val="24"/>
                <w:szCs w:val="24"/>
                <w:lang w:eastAsia="ru-RU"/>
              </w:rPr>
            </w:pP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3.1. Мазкур шартноманинг иловасига мувофиқ хизматлар нархи </w:t>
            </w:r>
            <w:r>
              <w:rPr>
                <w:rFonts w:ascii="Times New Roman" w:hAnsi="Times New Roman" w:cs="Times New Roman"/>
              </w:rPr>
              <w:t>_________</w:t>
            </w:r>
            <w:r w:rsidR="009E6EB3">
              <w:rPr>
                <w:rFonts w:ascii="Times New Roman" w:hAnsi="Times New Roman" w:cs="Times New Roman"/>
              </w:rPr>
              <w:t>__</w:t>
            </w:r>
            <w:r>
              <w:rPr>
                <w:rFonts w:ascii="Times New Roman" w:hAnsi="Times New Roman" w:cs="Times New Roman"/>
              </w:rPr>
              <w:t>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w:t>
            </w:r>
            <w:r w:rsidR="009E6EB3">
              <w:rPr>
                <w:rFonts w:ascii="Times New Roman" w:eastAsia="Times New Roman" w:hAnsi="Times New Roman" w:cs="Times New Roman"/>
                <w:color w:val="000000"/>
                <w:sz w:val="24"/>
                <w:szCs w:val="24"/>
                <w:lang w:eastAsia="ru-RU"/>
              </w:rPr>
              <w:t>________</w:t>
            </w:r>
            <w:r>
              <w:rPr>
                <w:rFonts w:ascii="Times New Roman" w:eastAsia="Times New Roman" w:hAnsi="Times New Roman" w:cs="Times New Roman"/>
                <w:color w:val="000000"/>
                <w:sz w:val="24"/>
                <w:szCs w:val="24"/>
                <w:lang w:eastAsia="ru-RU"/>
              </w:rPr>
              <w:t>___</w:t>
            </w:r>
            <w:r w:rsidRPr="000678C3">
              <w:rPr>
                <w:rFonts w:ascii="Times New Roman" w:eastAsia="Times New Roman" w:hAnsi="Times New Roman" w:cs="Times New Roman"/>
                <w:color w:val="000000"/>
                <w:sz w:val="24"/>
                <w:szCs w:val="24"/>
                <w:lang w:eastAsia="ru-RU"/>
              </w:rPr>
              <w:t>) сўмни ташкил этади.</w:t>
            </w:r>
          </w:p>
          <w:p w:rsidR="00947884" w:rsidRDefault="00947884" w:rsidP="00901C94">
            <w:pPr>
              <w:spacing w:after="0" w:line="240" w:lineRule="auto"/>
              <w:ind w:left="68" w:hanging="85"/>
              <w:rPr>
                <w:rFonts w:ascii="Times New Roman" w:eastAsia="Times New Roman" w:hAnsi="Times New Roman" w:cs="Times New Roman"/>
                <w:color w:val="000000"/>
                <w:sz w:val="24"/>
                <w:szCs w:val="24"/>
                <w:lang w:eastAsia="ru-RU"/>
              </w:rPr>
            </w:pPr>
          </w:p>
          <w:p w:rsidR="00947884" w:rsidRDefault="00947884" w:rsidP="00901C94">
            <w:pPr>
              <w:spacing w:after="0" w:line="240" w:lineRule="auto"/>
              <w:ind w:left="68" w:hanging="85"/>
              <w:rPr>
                <w:rFonts w:ascii="Times New Roman" w:eastAsia="Times New Roman" w:hAnsi="Times New Roman" w:cs="Times New Roman"/>
                <w:color w:val="000000"/>
                <w:sz w:val="24"/>
                <w:szCs w:val="24"/>
                <w:lang w:eastAsia="ru-RU"/>
              </w:rPr>
            </w:pPr>
          </w:p>
          <w:p w:rsidR="00947884" w:rsidRDefault="00947884"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34"/>
              <w:gridCol w:w="1134"/>
              <w:gridCol w:w="1134"/>
              <w:gridCol w:w="1985"/>
              <w:gridCol w:w="708"/>
              <w:gridCol w:w="1134"/>
              <w:gridCol w:w="1824"/>
              <w:gridCol w:w="12"/>
            </w:tblGrid>
            <w:tr w:rsidR="00CB136A" w:rsidRPr="000678C3" w:rsidTr="009E6EB3">
              <w:trPr>
                <w:gridAfter w:val="1"/>
                <w:wAfter w:w="12" w:type="dxa"/>
                <w:trHeight w:val="345"/>
              </w:trPr>
              <w:tc>
                <w:tcPr>
                  <w:tcW w:w="1808"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1134"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134"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134"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9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1842"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1824" w:type="dxa"/>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E6EB3">
              <w:trPr>
                <w:gridAfter w:val="1"/>
                <w:wAfter w:w="12" w:type="dxa"/>
                <w:trHeight w:val="570"/>
              </w:trPr>
              <w:tc>
                <w:tcPr>
                  <w:tcW w:w="1808"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985" w:type="dxa"/>
                  <w:vMerge/>
                  <w:vAlign w:val="center"/>
                  <w:hideMark/>
                </w:tcPr>
                <w:p w:rsidR="00CB136A" w:rsidRPr="000678C3" w:rsidRDefault="00CB136A" w:rsidP="00901C94">
                  <w:pPr>
                    <w:ind w:left="68" w:hanging="85"/>
                    <w:rPr>
                      <w:rFonts w:ascii="Times New Roman" w:hAnsi="Times New Roman" w:cs="Times New Roman"/>
                      <w:b/>
                      <w:bCs/>
                    </w:rPr>
                  </w:pPr>
                </w:p>
              </w:tc>
              <w:tc>
                <w:tcPr>
                  <w:tcW w:w="708"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13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1824" w:type="dxa"/>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E6EB3">
              <w:trPr>
                <w:gridAfter w:val="1"/>
                <w:wAfter w:w="12" w:type="dxa"/>
                <w:trHeight w:val="450"/>
              </w:trPr>
              <w:tc>
                <w:tcPr>
                  <w:tcW w:w="1808"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985" w:type="dxa"/>
                  <w:vMerge/>
                  <w:vAlign w:val="center"/>
                  <w:hideMark/>
                </w:tcPr>
                <w:p w:rsidR="00CB136A" w:rsidRPr="000678C3" w:rsidRDefault="00CB136A" w:rsidP="00901C94">
                  <w:pPr>
                    <w:ind w:left="68" w:hanging="85"/>
                    <w:rPr>
                      <w:rFonts w:ascii="Times New Roman" w:hAnsi="Times New Roman" w:cs="Times New Roman"/>
                      <w:b/>
                      <w:bCs/>
                    </w:rPr>
                  </w:pPr>
                </w:p>
              </w:tc>
              <w:tc>
                <w:tcPr>
                  <w:tcW w:w="708" w:type="dxa"/>
                  <w:vMerge/>
                  <w:vAlign w:val="center"/>
                  <w:hideMark/>
                </w:tcPr>
                <w:p w:rsidR="00CB136A" w:rsidRPr="000678C3" w:rsidRDefault="00CB136A" w:rsidP="00901C94">
                  <w:pPr>
                    <w:ind w:left="68" w:hanging="85"/>
                    <w:rPr>
                      <w:rFonts w:ascii="Times New Roman" w:hAnsi="Times New Roman" w:cs="Times New Roman"/>
                      <w:b/>
                      <w:bCs/>
                    </w:rPr>
                  </w:pPr>
                </w:p>
              </w:tc>
              <w:tc>
                <w:tcPr>
                  <w:tcW w:w="1134" w:type="dxa"/>
                  <w:vMerge/>
                  <w:vAlign w:val="center"/>
                  <w:hideMark/>
                </w:tcPr>
                <w:p w:rsidR="00CB136A" w:rsidRPr="000678C3" w:rsidRDefault="00CB136A" w:rsidP="00901C94">
                  <w:pPr>
                    <w:ind w:left="68" w:hanging="85"/>
                    <w:rPr>
                      <w:rFonts w:ascii="Times New Roman" w:hAnsi="Times New Roman" w:cs="Times New Roman"/>
                      <w:b/>
                      <w:bCs/>
                    </w:rPr>
                  </w:pPr>
                </w:p>
              </w:tc>
              <w:tc>
                <w:tcPr>
                  <w:tcW w:w="1824" w:type="dxa"/>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E6EB3">
              <w:trPr>
                <w:gridAfter w:val="1"/>
                <w:wAfter w:w="12" w:type="dxa"/>
                <w:trHeight w:val="300"/>
              </w:trPr>
              <w:tc>
                <w:tcPr>
                  <w:tcW w:w="1808"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134"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134" w:type="dxa"/>
                  <w:shd w:val="clear" w:color="000000" w:fill="FFFFFF"/>
                  <w:noWrap/>
                  <w:vAlign w:val="bottom"/>
                </w:tcPr>
                <w:p w:rsidR="00CB136A" w:rsidRPr="000678C3" w:rsidRDefault="00CB136A" w:rsidP="009A6519">
                  <w:pPr>
                    <w:ind w:left="68" w:hanging="85"/>
                    <w:jc w:val="center"/>
                    <w:rPr>
                      <w:rFonts w:ascii="Times New Roman" w:hAnsi="Times New Roman" w:cs="Times New Roman"/>
                    </w:rPr>
                  </w:pPr>
                </w:p>
              </w:tc>
              <w:tc>
                <w:tcPr>
                  <w:tcW w:w="1134"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985"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708"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134"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824"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E6EB3">
              <w:trPr>
                <w:trHeight w:val="585"/>
              </w:trPr>
              <w:tc>
                <w:tcPr>
                  <w:tcW w:w="9037" w:type="dxa"/>
                  <w:gridSpan w:val="7"/>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836"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Default="00CB136A" w:rsidP="009E6EB3">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p w:rsidR="00947884" w:rsidRPr="000678C3" w:rsidRDefault="00947884" w:rsidP="009E6EB3">
            <w:pPr>
              <w:spacing w:after="0" w:line="240" w:lineRule="auto"/>
              <w:jc w:val="center"/>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Default="00CB136A" w:rsidP="009E6EB3">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p w:rsidR="00947884" w:rsidRPr="000678C3" w:rsidRDefault="00947884" w:rsidP="009E6EB3">
            <w:pPr>
              <w:spacing w:after="0" w:line="240" w:lineRule="auto"/>
              <w:jc w:val="center"/>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947884" w:rsidRDefault="00947884" w:rsidP="009E6EB3">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E6EB3">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E6EB3">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E6EB3">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4788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947884">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9E6EB3" w:rsidRDefault="009E6EB3"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Default="009E6EB3" w:rsidP="00901C94">
            <w:pPr>
              <w:pStyle w:val="a3"/>
              <w:rPr>
                <w:rFonts w:ascii="Times New Roman" w:hAnsi="Times New Roman" w:cs="Times New Roman"/>
                <w:sz w:val="24"/>
                <w:szCs w:val="24"/>
              </w:rPr>
            </w:pPr>
            <w:r>
              <w:rPr>
                <w:rFonts w:ascii="Times New Roman" w:hAnsi="Times New Roman" w:cs="Times New Roman"/>
                <w:sz w:val="24"/>
                <w:szCs w:val="24"/>
              </w:rPr>
              <w:t>Гулистон шахар тиббиёт бирлашмаси</w:t>
            </w:r>
          </w:p>
          <w:p w:rsidR="009E6EB3" w:rsidRDefault="009E6EB3" w:rsidP="00901C94">
            <w:pPr>
              <w:pStyle w:val="a3"/>
              <w:rPr>
                <w:rFonts w:ascii="Times New Roman" w:hAnsi="Times New Roman" w:cs="Times New Roman"/>
                <w:sz w:val="24"/>
                <w:szCs w:val="24"/>
              </w:rPr>
            </w:pPr>
            <w:r>
              <w:rPr>
                <w:rFonts w:ascii="Times New Roman" w:hAnsi="Times New Roman" w:cs="Times New Roman"/>
                <w:sz w:val="24"/>
                <w:szCs w:val="24"/>
              </w:rPr>
              <w:t>Гулистон шахар Дустлик кургони</w:t>
            </w:r>
          </w:p>
          <w:p w:rsidR="00CB136A" w:rsidRDefault="009E6EB3" w:rsidP="00901C94">
            <w:pPr>
              <w:pStyle w:val="a3"/>
              <w:rPr>
                <w:rFonts w:ascii="Times New Roman" w:hAnsi="Times New Roman" w:cs="Times New Roman"/>
                <w:sz w:val="24"/>
                <w:szCs w:val="24"/>
              </w:rPr>
            </w:pPr>
            <w:r>
              <w:rPr>
                <w:rFonts w:ascii="Times New Roman" w:hAnsi="Times New Roman" w:cs="Times New Roman"/>
                <w:sz w:val="24"/>
                <w:szCs w:val="24"/>
              </w:rPr>
              <w:t>ШХВ_______________________________</w:t>
            </w:r>
          </w:p>
          <w:p w:rsidR="009E6EB3" w:rsidRDefault="009E6EB3" w:rsidP="00901C94">
            <w:pPr>
              <w:pStyle w:val="a3"/>
              <w:rPr>
                <w:rFonts w:ascii="Times New Roman" w:hAnsi="Times New Roman" w:cs="Times New Roman"/>
                <w:sz w:val="24"/>
                <w:szCs w:val="24"/>
              </w:rPr>
            </w:pPr>
            <w:r>
              <w:rPr>
                <w:rFonts w:ascii="Times New Roman" w:hAnsi="Times New Roman" w:cs="Times New Roman"/>
                <w:sz w:val="24"/>
                <w:szCs w:val="24"/>
              </w:rPr>
              <w:t>ИНН 202010494 МФО 00014</w:t>
            </w:r>
          </w:p>
          <w:p w:rsidR="009E6EB3" w:rsidRDefault="009E6EB3" w:rsidP="00901C94">
            <w:pPr>
              <w:pStyle w:val="a3"/>
              <w:rPr>
                <w:rFonts w:ascii="Times New Roman" w:hAnsi="Times New Roman" w:cs="Times New Roman"/>
                <w:sz w:val="24"/>
                <w:szCs w:val="24"/>
              </w:rPr>
            </w:pPr>
            <w:r>
              <w:rPr>
                <w:rFonts w:ascii="Times New Roman" w:hAnsi="Times New Roman" w:cs="Times New Roman"/>
                <w:sz w:val="24"/>
                <w:szCs w:val="24"/>
              </w:rPr>
              <w:t>МБ ХККМ Тошкент шахар</w:t>
            </w:r>
          </w:p>
          <w:p w:rsidR="009E6EB3" w:rsidRDefault="009E6EB3" w:rsidP="00901C94">
            <w:pPr>
              <w:pStyle w:val="a3"/>
              <w:rPr>
                <w:rFonts w:ascii="Times New Roman" w:hAnsi="Times New Roman" w:cs="Times New Roman"/>
                <w:sz w:val="24"/>
                <w:szCs w:val="24"/>
              </w:rPr>
            </w:pPr>
            <w:r>
              <w:rPr>
                <w:rFonts w:ascii="Times New Roman" w:hAnsi="Times New Roman" w:cs="Times New Roman"/>
                <w:sz w:val="24"/>
                <w:szCs w:val="24"/>
              </w:rPr>
              <w:t>Сирдарё вилояти буйича Газначилик булинмаси</w:t>
            </w:r>
          </w:p>
          <w:p w:rsidR="009E6EB3" w:rsidRDefault="009E6EB3" w:rsidP="00901C94">
            <w:pPr>
              <w:pStyle w:val="a3"/>
              <w:rPr>
                <w:rFonts w:ascii="Times New Roman" w:hAnsi="Times New Roman" w:cs="Times New Roman"/>
                <w:sz w:val="24"/>
                <w:szCs w:val="24"/>
              </w:rPr>
            </w:pPr>
            <w:r>
              <w:rPr>
                <w:rFonts w:ascii="Times New Roman" w:hAnsi="Times New Roman" w:cs="Times New Roman"/>
                <w:sz w:val="24"/>
                <w:szCs w:val="24"/>
              </w:rPr>
              <w:t>Р/С 23402000300100001010</w:t>
            </w:r>
          </w:p>
          <w:p w:rsidR="00CB136A" w:rsidRPr="000678C3" w:rsidRDefault="009E6EB3" w:rsidP="00901C94">
            <w:pPr>
              <w:pStyle w:val="a3"/>
              <w:rPr>
                <w:rFonts w:ascii="Times New Roman" w:hAnsi="Times New Roman" w:cs="Times New Roman"/>
                <w:sz w:val="24"/>
                <w:szCs w:val="24"/>
              </w:rPr>
            </w:pPr>
            <w:r>
              <w:rPr>
                <w:rFonts w:ascii="Times New Roman" w:hAnsi="Times New Roman" w:cs="Times New Roman"/>
                <w:sz w:val="24"/>
                <w:szCs w:val="24"/>
              </w:rPr>
              <w:t>ИНН 201122919</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r w:rsidR="009E6EB3">
              <w:rPr>
                <w:rFonts w:ascii="Times New Roman" w:hAnsi="Times New Roman" w:cs="Times New Roman"/>
                <w:sz w:val="24"/>
                <w:szCs w:val="24"/>
              </w:rPr>
              <w:t>Ю.Мирхонов</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21349"/>
    <w:multiLevelType w:val="hybridMultilevel"/>
    <w:tmpl w:val="F2067462"/>
    <w:lvl w:ilvl="0" w:tplc="1480EE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5735C6"/>
    <w:rsid w:val="006B0799"/>
    <w:rsid w:val="006C6858"/>
    <w:rsid w:val="00947884"/>
    <w:rsid w:val="009A6519"/>
    <w:rsid w:val="009E6EB3"/>
    <w:rsid w:val="00CB136A"/>
    <w:rsid w:val="00CB6FC1"/>
    <w:rsid w:val="00DB3D0F"/>
    <w:rsid w:val="00F101E0"/>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470B"/>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 w:type="paragraph" w:styleId="a4">
    <w:name w:val="List Paragraph"/>
    <w:basedOn w:val="a"/>
    <w:uiPriority w:val="34"/>
    <w:qFormat/>
    <w:rsid w:val="0094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Бобуршейх</cp:lastModifiedBy>
  <cp:revision>4</cp:revision>
  <dcterms:created xsi:type="dcterms:W3CDTF">2022-07-05T05:28:00Z</dcterms:created>
  <dcterms:modified xsi:type="dcterms:W3CDTF">2022-07-05T05:42:00Z</dcterms:modified>
</cp:coreProperties>
</file>