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FF40" w14:textId="77777777" w:rsidR="002A7E01" w:rsidRPr="003C715B" w:rsidRDefault="002A7E01" w:rsidP="002A7E01">
      <w:pPr>
        <w:spacing w:after="120" w:line="240" w:lineRule="auto"/>
        <w:rPr>
          <w:rFonts w:ascii="Times New Roman" w:hAnsi="Times New Roman" w:cs="Times New Roman"/>
          <w:b/>
          <w:lang w:val="uz-Cyrl-UZ"/>
        </w:rPr>
      </w:pPr>
    </w:p>
    <w:p w14:paraId="1EAAE736" w14:textId="77777777" w:rsidR="002A7E01" w:rsidRPr="003C715B" w:rsidRDefault="002A7E01" w:rsidP="002A7E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957BB">
        <w:rPr>
          <w:rFonts w:ascii="Times New Roman" w:hAnsi="Times New Roman" w:cs="Times New Roman"/>
          <w:b/>
          <w:sz w:val="28"/>
          <w:szCs w:val="28"/>
          <w:lang w:val="uz-Cyrl-UZ"/>
        </w:rPr>
        <w:t>Аусорсинг шартлари асосида хизматларни  к</w:t>
      </w:r>
      <w:r w:rsidRPr="003C715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ўрсатиш бўйича </w:t>
      </w:r>
    </w:p>
    <w:p w14:paraId="1D74B57F" w14:textId="77777777" w:rsidR="002A7E01" w:rsidRPr="00526617" w:rsidRDefault="002A7E01" w:rsidP="002A7E01">
      <w:pPr>
        <w:spacing w:after="120" w:line="240" w:lineRule="auto"/>
        <w:jc w:val="center"/>
        <w:rPr>
          <w:rFonts w:ascii="Times New Roman" w:hAnsi="Times New Roman" w:cs="Times New Roman"/>
          <w:b/>
          <w:lang w:val="uz-Cyrl-UZ"/>
        </w:rPr>
      </w:pPr>
      <w:r w:rsidRPr="00C957BB">
        <w:rPr>
          <w:rFonts w:ascii="Times New Roman" w:hAnsi="Times New Roman" w:cs="Times New Roman"/>
          <w:b/>
          <w:lang w:val="uz-Cyrl-UZ"/>
        </w:rPr>
        <w:t>ШАРТНОМА №</w:t>
      </w:r>
      <w:r>
        <w:rPr>
          <w:rFonts w:ascii="Times New Roman" w:hAnsi="Times New Roman" w:cs="Times New Roman"/>
          <w:b/>
          <w:lang w:val="uz-Cyrl-UZ"/>
        </w:rPr>
        <w:t xml:space="preserve">   </w:t>
      </w:r>
    </w:p>
    <w:p w14:paraId="216394EE" w14:textId="77777777" w:rsidR="002A7E01" w:rsidRPr="00C957BB" w:rsidRDefault="002A7E01" w:rsidP="002A7E01">
      <w:pPr>
        <w:spacing w:after="120" w:line="240" w:lineRule="auto"/>
        <w:rPr>
          <w:rFonts w:ascii="Times New Roman" w:hAnsi="Times New Roman" w:cs="Times New Roman"/>
          <w:b/>
          <w:lang w:val="uz-Cyrl-UZ"/>
        </w:rPr>
      </w:pPr>
    </w:p>
    <w:p w14:paraId="04552ABF" w14:textId="77777777" w:rsidR="002A7E01" w:rsidRPr="00C957BB" w:rsidRDefault="002A7E01" w:rsidP="002A7E01">
      <w:pPr>
        <w:spacing w:line="240" w:lineRule="auto"/>
        <w:rPr>
          <w:rFonts w:ascii="Times New Roman" w:hAnsi="Times New Roman" w:cs="Times New Roman"/>
          <w:lang w:val="uz-Cyrl-UZ"/>
        </w:rPr>
      </w:pPr>
      <w:r w:rsidRPr="00C957BB">
        <w:rPr>
          <w:rFonts w:ascii="Times New Roman" w:hAnsi="Times New Roman" w:cs="Times New Roman"/>
          <w:lang w:val="uz-Cyrl-UZ"/>
        </w:rPr>
        <w:t xml:space="preserve">Ташкент </w:t>
      </w:r>
      <w:r>
        <w:rPr>
          <w:rFonts w:ascii="Times New Roman" w:hAnsi="Times New Roman" w:cs="Times New Roman"/>
          <w:lang w:val="uz-Cyrl-UZ"/>
        </w:rPr>
        <w:t>ш.</w:t>
      </w:r>
      <w:r w:rsidRPr="00C957BB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                                 «</w:t>
      </w:r>
      <w:r>
        <w:rPr>
          <w:rFonts w:ascii="Times New Roman" w:hAnsi="Times New Roman" w:cs="Times New Roman"/>
          <w:lang w:val="uz-Cyrl-UZ"/>
        </w:rPr>
        <w:t>__</w:t>
      </w:r>
      <w:r w:rsidRPr="00C957BB">
        <w:rPr>
          <w:rFonts w:ascii="Times New Roman" w:hAnsi="Times New Roman" w:cs="Times New Roman"/>
          <w:lang w:val="uz-Cyrl-UZ"/>
        </w:rPr>
        <w:t>»______</w:t>
      </w:r>
      <w:r w:rsidRPr="0095085B">
        <w:rPr>
          <w:rFonts w:ascii="Times New Roman" w:hAnsi="Times New Roman" w:cs="Times New Roman"/>
          <w:lang w:val="uz-Cyrl-UZ"/>
        </w:rPr>
        <w:t>__</w:t>
      </w:r>
      <w:r w:rsidRPr="00C957BB">
        <w:rPr>
          <w:rFonts w:ascii="Times New Roman" w:hAnsi="Times New Roman" w:cs="Times New Roman"/>
          <w:lang w:val="uz-Cyrl-UZ"/>
        </w:rPr>
        <w:t>202</w:t>
      </w:r>
      <w:r>
        <w:rPr>
          <w:rFonts w:ascii="Times New Roman" w:hAnsi="Times New Roman" w:cs="Times New Roman"/>
          <w:lang w:val="uz-Cyrl-UZ"/>
        </w:rPr>
        <w:t>__</w:t>
      </w:r>
      <w:r w:rsidRPr="00C957BB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й</w:t>
      </w:r>
      <w:r w:rsidRPr="00C957BB">
        <w:rPr>
          <w:rFonts w:ascii="Times New Roman" w:hAnsi="Times New Roman" w:cs="Times New Roman"/>
          <w:lang w:val="uz-Cyrl-UZ"/>
        </w:rPr>
        <w:t>.</w:t>
      </w:r>
    </w:p>
    <w:p w14:paraId="525586AA" w14:textId="02A34105" w:rsidR="002A7E01" w:rsidRPr="00514A72" w:rsidRDefault="002A7E01" w:rsidP="002A7E0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lang w:val="uz-Cyrl-UZ"/>
        </w:rPr>
        <w:t xml:space="preserve">           </w:t>
      </w:r>
      <w:r w:rsidRPr="007A651A">
        <w:rPr>
          <w:rFonts w:ascii="Times New Roman" w:hAnsi="Times New Roman"/>
          <w:b/>
          <w:bCs/>
          <w:color w:val="000000"/>
          <w:sz w:val="18"/>
          <w:szCs w:val="18"/>
          <w:lang w:val="uz-Cyrl-UZ"/>
        </w:rPr>
        <w:t>«</w:t>
      </w:r>
      <w:r>
        <w:rPr>
          <w:rFonts w:ascii="Times New Roman" w:hAnsi="Times New Roman"/>
          <w:b/>
          <w:bCs/>
          <w:color w:val="000000"/>
          <w:sz w:val="18"/>
          <w:szCs w:val="18"/>
          <w:lang w:val="uz-Cyrl-UZ"/>
        </w:rPr>
        <w:t xml:space="preserve">                 </w:t>
      </w:r>
      <w:r w:rsidRPr="007A651A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 »</w:t>
      </w:r>
      <w:r w:rsidRPr="007A651A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  </w:t>
      </w:r>
      <w:r w:rsidRPr="00897CE4">
        <w:rPr>
          <w:rFonts w:ascii="Times New Roman" w:hAnsi="Times New Roman" w:cs="Times New Roman"/>
          <w:sz w:val="24"/>
          <w:szCs w:val="24"/>
          <w:lang w:val="uz-Cyrl-UZ"/>
        </w:rPr>
        <w:t xml:space="preserve">номидан Устав асосида фаолиат юрутувчи директор </w:t>
      </w:r>
      <w:r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957BB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897CE4">
        <w:rPr>
          <w:rFonts w:ascii="Times New Roman" w:hAnsi="Times New Roman" w:cs="Times New Roman"/>
          <w:sz w:val="24"/>
          <w:szCs w:val="24"/>
          <w:lang w:val="uz-Cyrl-UZ"/>
        </w:rPr>
        <w:t xml:space="preserve">Кейинги уринларда Аусорсер деб аталади </w:t>
      </w:r>
      <w:r w:rsidRPr="00C957BB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C957B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бир томондан ва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____________________</w:t>
      </w:r>
      <w:r>
        <w:rPr>
          <w:rFonts w:ascii="Times New Roman" w:hAnsi="Times New Roman"/>
          <w:lang w:val="uz-Cyrl-UZ"/>
        </w:rPr>
        <w:t xml:space="preserve"> </w:t>
      </w:r>
      <w:r w:rsidRPr="00C957B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номидан </w:t>
      </w:r>
      <w:r w:rsidRPr="00897CE4">
        <w:rPr>
          <w:rFonts w:ascii="Times New Roman" w:hAnsi="Times New Roman" w:cs="Times New Roman"/>
          <w:sz w:val="24"/>
          <w:szCs w:val="24"/>
          <w:lang w:val="uz-Cyrl-UZ"/>
        </w:rPr>
        <w:t xml:space="preserve">Низом асосида фаолиат юрутувчи </w:t>
      </w:r>
      <w:r>
        <w:rPr>
          <w:rFonts w:ascii="Times New Roman" w:hAnsi="Times New Roman"/>
          <w:lang w:val="uz-Cyrl-UZ"/>
        </w:rPr>
        <w:t>_______________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C957BB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</w:t>
      </w:r>
      <w:r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897CE4">
        <w:rPr>
          <w:rFonts w:ascii="Times New Roman" w:hAnsi="Times New Roman" w:cs="Times New Roman"/>
          <w:sz w:val="24"/>
          <w:szCs w:val="24"/>
          <w:lang w:val="uz-Cyrl-UZ"/>
        </w:rPr>
        <w:t xml:space="preserve">ринларда Буюртмачи деб аталади </w:t>
      </w:r>
      <w:r w:rsidRPr="00C957BB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C957B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иккинчи томондан кейинчалик Томонлар деб аталади, ушбу Шартномани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C957B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қуйидагилар тўғрисида туздилар.</w:t>
      </w:r>
    </w:p>
    <w:tbl>
      <w:tblPr>
        <w:tblW w:w="5203" w:type="pct"/>
        <w:tblInd w:w="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9374"/>
        <w:gridCol w:w="9"/>
        <w:gridCol w:w="9"/>
        <w:gridCol w:w="9"/>
        <w:gridCol w:w="9"/>
        <w:gridCol w:w="9"/>
      </w:tblGrid>
      <w:tr w:rsidR="002A7E01" w:rsidRPr="00CE1957" w14:paraId="6AB13526" w14:textId="77777777" w:rsidTr="00221C1F">
        <w:trPr>
          <w:gridAfter w:val="5"/>
        </w:trPr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61BFC77" w14:textId="77777777" w:rsidR="002A7E01" w:rsidRPr="00897CE4" w:rsidRDefault="002A7E01" w:rsidP="00221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CE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897CE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897CE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предмети</w:t>
            </w:r>
            <w:proofErr w:type="spellEnd"/>
          </w:p>
        </w:tc>
      </w:tr>
      <w:tr w:rsidR="002A7E01" w:rsidRPr="00CE1957" w14:paraId="584B8AA5" w14:textId="77777777" w:rsidTr="00221C1F">
        <w:trPr>
          <w:gridAfter w:val="5"/>
        </w:trPr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B50DD6E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буюртмаси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1.2-бандида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кўрсатиб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CE1957" w14:paraId="1967503F" w14:textId="77777777" w:rsidTr="00221C1F">
        <w:trPr>
          <w:gridAfter w:val="5"/>
        </w:trPr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512B2EE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1.3-бандида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муддатдан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бошлаб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имтиёзли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овкатлантириш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CE1957" w14:paraId="14EDBAE4" w14:textId="77777777" w:rsidTr="00221C1F">
        <w:trPr>
          <w:gridAfter w:val="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B7E3710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41320CE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CDE36F6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3EF30B7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A2CC2E8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23E23BC" w14:textId="77777777" w:rsidR="002A7E01" w:rsidRPr="00897CE4" w:rsidRDefault="002A7E01" w:rsidP="00221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E01" w:rsidRPr="00CE1957" w14:paraId="1EC3BC3C" w14:textId="77777777" w:rsidTr="00221C1F">
        <w:trPr>
          <w:gridAfter w:val="1"/>
        </w:trPr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F277D43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</w:tcPr>
          <w:p w14:paraId="28FD7BA3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1F7CDF47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148E7013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76E551B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</w:tr>
      <w:tr w:rsidR="002A7E01" w:rsidRPr="00CE1957" w14:paraId="71C9CEDC" w14:textId="77777777" w:rsidTr="00221C1F"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</w:tcPr>
          <w:p w14:paraId="561911F4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 </w:t>
            </w:r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йил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«____» _____________дан. </w:t>
            </w:r>
          </w:p>
        </w:tc>
        <w:tc>
          <w:tcPr>
            <w:tcW w:w="0" w:type="auto"/>
          </w:tcPr>
          <w:p w14:paraId="1AD29469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1B9440A9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18155EF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79CA70B0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6651F8FC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</w:tr>
      <w:tr w:rsidR="002A7E01" w:rsidRPr="00CE1957" w14:paraId="3C93CB45" w14:textId="77777777" w:rsidTr="00221C1F"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</w:tcPr>
          <w:p w14:paraId="6611BCAA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2  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йил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«____» _____________гача.</w:t>
            </w:r>
          </w:p>
        </w:tc>
        <w:tc>
          <w:tcPr>
            <w:tcW w:w="0" w:type="auto"/>
          </w:tcPr>
          <w:p w14:paraId="517FB194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ACC6338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7E0716C2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71011240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5126122B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</w:tr>
      <w:tr w:rsidR="002A7E01" w:rsidRPr="00CE1957" w14:paraId="319C3C8B" w14:textId="77777777" w:rsidTr="00221C1F">
        <w:tc>
          <w:tcPr>
            <w:tcW w:w="4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</w:tcPr>
          <w:p w14:paraId="0CE9F321" w14:textId="77777777" w:rsidR="002A7E01" w:rsidRPr="00897CE4" w:rsidRDefault="002A7E01" w:rsidP="00221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йиғма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-фактура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имзоланиб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Аутсорсернинг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Шартномада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ҳисоб-рақамига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маблағлари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ўтказгандан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сўнг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ҳисобланади</w:t>
            </w:r>
            <w:proofErr w:type="spellEnd"/>
            <w:r w:rsidRPr="0089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210365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B8BFB54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0435A3DB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18DBAFF9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EFAABC3" w14:textId="77777777" w:rsidR="002A7E01" w:rsidRPr="00CE1957" w:rsidRDefault="002A7E01" w:rsidP="00221C1F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1CB7F21" w14:textId="77777777" w:rsidR="002A7E01" w:rsidRPr="009C26F2" w:rsidRDefault="002A7E01" w:rsidP="002A7E0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uz-Cyrl-UZ"/>
        </w:rPr>
        <w:t>4.1.</w:t>
      </w:r>
      <w:r w:rsidRPr="009C2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z-Cyrl-UZ"/>
        </w:rPr>
        <w:t xml:space="preserve">Нархлар </w:t>
      </w:r>
      <w:proofErr w:type="gramStart"/>
      <w:r>
        <w:rPr>
          <w:rFonts w:ascii="Times New Roman" w:hAnsi="Times New Roman" w:cs="Times New Roman"/>
        </w:rPr>
        <w:t>Спецификация</w:t>
      </w:r>
      <w:r>
        <w:rPr>
          <w:rFonts w:ascii="Times New Roman" w:hAnsi="Times New Roman" w:cs="Times New Roman"/>
          <w:lang w:val="uz-Cyrl-UZ"/>
        </w:rPr>
        <w:t>си</w:t>
      </w:r>
      <w:r>
        <w:rPr>
          <w:rFonts w:ascii="Times New Roman" w:hAnsi="Times New Roman" w:cs="Times New Roman"/>
        </w:rPr>
        <w:t xml:space="preserve"> </w:t>
      </w:r>
      <w:r w:rsidRPr="009C26F2">
        <w:rPr>
          <w:rFonts w:ascii="Times New Roman" w:hAnsi="Times New Roman" w:cs="Times New Roman"/>
        </w:rPr>
        <w:t>:</w:t>
      </w:r>
      <w:proofErr w:type="gramEnd"/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2"/>
        <w:gridCol w:w="1378"/>
        <w:gridCol w:w="986"/>
        <w:gridCol w:w="1062"/>
        <w:gridCol w:w="1347"/>
        <w:gridCol w:w="1702"/>
        <w:gridCol w:w="567"/>
        <w:gridCol w:w="1559"/>
        <w:gridCol w:w="1843"/>
      </w:tblGrid>
      <w:tr w:rsidR="002A7E01" w:rsidRPr="009C26F2" w14:paraId="2D160365" w14:textId="77777777" w:rsidTr="00221C1F">
        <w:trPr>
          <w:trHeight w:val="345"/>
        </w:trPr>
        <w:tc>
          <w:tcPr>
            <w:tcW w:w="472" w:type="dxa"/>
            <w:vMerge w:val="restart"/>
          </w:tcPr>
          <w:p w14:paraId="06D8FEA4" w14:textId="77777777" w:rsidR="002A7E01" w:rsidRDefault="002A7E01" w:rsidP="00221C1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14:paraId="4DAD9166" w14:textId="77777777" w:rsidR="002A7E01" w:rsidRDefault="002A7E01" w:rsidP="00221C1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14:paraId="16AFDC42" w14:textId="77777777" w:rsidR="002A7E01" w:rsidRPr="00515BA1" w:rsidRDefault="002A7E01" w:rsidP="00221C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5B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78" w:type="dxa"/>
            <w:vMerge w:val="restart"/>
          </w:tcPr>
          <w:p w14:paraId="73A1A086" w14:textId="77777777" w:rsidR="002A7E01" w:rsidRDefault="002A7E01" w:rsidP="00221C1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  <w:p w14:paraId="1A9818A3" w14:textId="77777777" w:rsidR="002A7E01" w:rsidRDefault="002A7E01" w:rsidP="00221C1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Хизмат</w:t>
            </w:r>
            <w:proofErr w:type="spellEnd"/>
          </w:p>
          <w:p w14:paraId="57F5E4AE" w14:textId="77777777" w:rsidR="002A7E01" w:rsidRPr="009461ED" w:rsidRDefault="002A7E01" w:rsidP="00221C1F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Номи</w:t>
            </w:r>
          </w:p>
        </w:tc>
        <w:tc>
          <w:tcPr>
            <w:tcW w:w="986" w:type="dxa"/>
            <w:vMerge w:val="restart"/>
            <w:vAlign w:val="center"/>
          </w:tcPr>
          <w:p w14:paraId="0F52BB49" w14:textId="77777777" w:rsidR="002A7E01" w:rsidRPr="009461ED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Ўлчов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бирлиги</w:t>
            </w:r>
            <w:proofErr w:type="spellEnd"/>
          </w:p>
        </w:tc>
        <w:tc>
          <w:tcPr>
            <w:tcW w:w="1062" w:type="dxa"/>
            <w:vMerge w:val="restart"/>
            <w:vAlign w:val="center"/>
          </w:tcPr>
          <w:p w14:paraId="73E78B5A" w14:textId="77777777" w:rsidR="002A7E01" w:rsidRPr="00EA18BB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Хизмат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бирлиг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лар сони</w:t>
            </w:r>
          </w:p>
        </w:tc>
        <w:tc>
          <w:tcPr>
            <w:tcW w:w="1347" w:type="dxa"/>
            <w:vMerge w:val="restart"/>
            <w:vAlign w:val="center"/>
          </w:tcPr>
          <w:p w14:paraId="14D9DF81" w14:textId="77777777" w:rsidR="002A7E01" w:rsidRPr="009461ED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Хизмат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бирлиги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учун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нарх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сўм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2" w:type="dxa"/>
            <w:vMerge w:val="restart"/>
            <w:vAlign w:val="center"/>
          </w:tcPr>
          <w:p w14:paraId="0560093F" w14:textId="77777777" w:rsidR="002A7E01" w:rsidRPr="009461ED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ҚҚС сиз (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сўм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504F5DE6" w14:textId="77777777" w:rsidR="002A7E01" w:rsidRPr="009461ED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ҚҚС ___%</w:t>
            </w:r>
          </w:p>
        </w:tc>
        <w:tc>
          <w:tcPr>
            <w:tcW w:w="1843" w:type="dxa"/>
            <w:vMerge w:val="restart"/>
            <w:vAlign w:val="center"/>
          </w:tcPr>
          <w:p w14:paraId="0FD21A3F" w14:textId="77777777" w:rsidR="002A7E01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ҚҚС 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билан</w:t>
            </w:r>
            <w:proofErr w:type="spellEnd"/>
          </w:p>
          <w:p w14:paraId="0A45A6A0" w14:textId="77777777" w:rsidR="002A7E01" w:rsidRPr="009461ED" w:rsidRDefault="002A7E01" w:rsidP="00221C1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сўм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A7E01" w:rsidRPr="009C26F2" w14:paraId="1EC6D3A4" w14:textId="77777777" w:rsidTr="00221C1F">
        <w:trPr>
          <w:trHeight w:val="150"/>
        </w:trPr>
        <w:tc>
          <w:tcPr>
            <w:tcW w:w="472" w:type="dxa"/>
            <w:vMerge/>
          </w:tcPr>
          <w:p w14:paraId="408D072B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</w:tcPr>
          <w:p w14:paraId="7D58CF6A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14:paraId="531A0AB2" w14:textId="77777777" w:rsidR="002A7E01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</w:tcPr>
          <w:p w14:paraId="29192BCD" w14:textId="77777777" w:rsidR="002A7E01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</w:tcPr>
          <w:p w14:paraId="45B228D8" w14:textId="77777777" w:rsidR="002A7E01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5ED5CA59" w14:textId="77777777" w:rsidR="002A7E01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C0970B" w14:textId="77777777" w:rsidR="002A7E01" w:rsidRPr="009461ED" w:rsidRDefault="002A7E01" w:rsidP="00221C1F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ставкаси</w:t>
            </w:r>
          </w:p>
        </w:tc>
        <w:tc>
          <w:tcPr>
            <w:tcW w:w="1559" w:type="dxa"/>
          </w:tcPr>
          <w:p w14:paraId="596F4B40" w14:textId="77777777" w:rsidR="002A7E01" w:rsidRPr="00515BA1" w:rsidRDefault="002A7E01" w:rsidP="00221C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ҚҚС </w:t>
            </w:r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сўм</w:t>
            </w:r>
            <w:proofErr w:type="spellEnd"/>
            <w:r w:rsidRPr="0094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14:paraId="1DA6B051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</w:tr>
      <w:tr w:rsidR="002A7E01" w:rsidRPr="009C26F2" w14:paraId="55609B1C" w14:textId="77777777" w:rsidTr="00221C1F">
        <w:trPr>
          <w:trHeight w:val="705"/>
        </w:trPr>
        <w:tc>
          <w:tcPr>
            <w:tcW w:w="472" w:type="dxa"/>
          </w:tcPr>
          <w:p w14:paraId="4CB2079B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  <w:r w:rsidRPr="009C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</w:tcPr>
          <w:p w14:paraId="64DA94A8" w14:textId="77777777" w:rsidR="002A7E01" w:rsidRPr="00EA18BB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Хар кунлик пархез овкатланиш</w:t>
            </w:r>
          </w:p>
        </w:tc>
        <w:tc>
          <w:tcPr>
            <w:tcW w:w="986" w:type="dxa"/>
          </w:tcPr>
          <w:p w14:paraId="3085D895" w14:textId="77777777" w:rsidR="002A7E01" w:rsidRPr="00EA18BB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Порция</w:t>
            </w:r>
          </w:p>
          <w:p w14:paraId="19D2A705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54A2BF10" w14:textId="6E088951" w:rsidR="002A7E01" w:rsidRPr="00AC15D8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347" w:type="dxa"/>
          </w:tcPr>
          <w:p w14:paraId="4DE05D55" w14:textId="38389713" w:rsidR="002A7E01" w:rsidRPr="00AC15D8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6D3956A1" w14:textId="3F90FCA2" w:rsidR="002A7E01" w:rsidRPr="00997857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67" w:type="dxa"/>
          </w:tcPr>
          <w:p w14:paraId="364BF312" w14:textId="2C5B246C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CB53D0" w14:textId="01301325" w:rsidR="002A7E01" w:rsidRPr="00997857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843" w:type="dxa"/>
          </w:tcPr>
          <w:p w14:paraId="6D5E4A98" w14:textId="356F12C6" w:rsidR="002A7E01" w:rsidRPr="00997857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2A7E01" w:rsidRPr="009C26F2" w14:paraId="401EFDF6" w14:textId="77777777" w:rsidTr="00221C1F">
        <w:trPr>
          <w:trHeight w:val="494"/>
        </w:trPr>
        <w:tc>
          <w:tcPr>
            <w:tcW w:w="472" w:type="dxa"/>
          </w:tcPr>
          <w:p w14:paraId="762B5E9B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14:paraId="78D94D8D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43811422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49EE2435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14:paraId="4FEFE683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416B0096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0261E5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725B25" w14:textId="77777777" w:rsidR="002A7E01" w:rsidRPr="009C26F2" w:rsidRDefault="002A7E01" w:rsidP="00221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1F62D3" w14:textId="5888EB53" w:rsidR="002A7E01" w:rsidRDefault="002A7E01" w:rsidP="00221C1F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14:paraId="0001A0E3" w14:textId="77777777" w:rsidR="002A7E01" w:rsidRPr="009C26F2" w:rsidRDefault="002A7E01" w:rsidP="002A7E01">
      <w:pPr>
        <w:spacing w:line="240" w:lineRule="auto"/>
        <w:rPr>
          <w:rFonts w:ascii="Times New Roman" w:hAnsi="Times New Roman" w:cs="Times New Roman"/>
        </w:rPr>
      </w:pPr>
    </w:p>
    <w:tbl>
      <w:tblPr>
        <w:tblW w:w="520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7280"/>
        <w:gridCol w:w="102"/>
        <w:gridCol w:w="102"/>
        <w:gridCol w:w="102"/>
        <w:gridCol w:w="2836"/>
        <w:gridCol w:w="102"/>
      </w:tblGrid>
      <w:tr w:rsidR="002A7E01" w:rsidRPr="00EA18BB" w14:paraId="7B673080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985C1C3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ҳуқуқ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мажбуриятлари</w:t>
            </w:r>
            <w:proofErr w:type="spellEnd"/>
          </w:p>
        </w:tc>
      </w:tr>
      <w:tr w:rsidR="002A7E01" w:rsidRPr="00EA18BB" w14:paraId="26165A5E" w14:textId="77777777" w:rsidTr="00221C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0BCA452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қуйидаги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ҳуқуқларга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FF8C784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60AD1BF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81D481C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66404BB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E01" w:rsidRPr="00EA18BB" w14:paraId="0023E7B8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2959939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мол-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мулкдан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фойдаланиш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674D65D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C7D204F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иншоотларнинг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ички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ташқи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қисмида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жиҳатдан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жиҳозлаш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таъмирлаш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273CEB37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F47F98A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таннархининг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ўзгариши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муносабати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ўзгартириш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таклифи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чиқиш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2F11F94B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7186CC7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вақтида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тўловлар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оширилишини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039FA289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F957468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2.1.5.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натижасида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757927F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E2B12B3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2.1.6.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бажарилишини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1C68370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3FEAE0E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2.1.7.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ҳужжатларига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EA18BB" w14:paraId="2F5C6B67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5134574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қуйидагиларга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A7E01" w:rsidRPr="00EA18BB" w14:paraId="64133C8E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791165A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иншоотлар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жиҳозлардан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мақсадли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ҳамда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оқилона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фойдаланиши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келганда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таъмирлаши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харажатларини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қоплаши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159DB46E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10706D3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Аутсорсинг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техника,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ёнғин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меҳнат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муҳофазаси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ҳамда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санитария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қоидалари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гигиена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қатъий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7FB23B77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E1FA964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2.2.3. Товар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нинг</w:t>
            </w:r>
            <w:proofErr w:type="spellEnd"/>
            <w:proofErr w:type="gram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сифатли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чиқарилишини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етказилишини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таъминлаши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63A26859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3A031C6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Махфийлик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қатъий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1097FAEF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889FC11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2.2.5.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ҳақида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огоҳлантириш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узлуксиз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этишни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таъминлаши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7285BF00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18265BD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2.2.6.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сифатли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1.3-бандида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ҳажмда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06049CF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FFD5DD0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2.2.7.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жараёнида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қилмасдан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сифатининг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ёмонлашувига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камчиликларни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кун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давомида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бепул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тўғрилаши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504CA6E8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A05EC71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2.2.8.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сифатсизлиги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вақтинча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фойдаланишга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бериладиган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чиқариш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хоналари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санитария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қоидаларига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бермаслиги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аниқланганда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зудлик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аниқланган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камчиликларни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бартараф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0B03E220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7ABF5DD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2.2.9.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Малакали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тажрибали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қўйилган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вазифани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берувчи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ҳужжатлари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мавжуд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тиббий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текширувдан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кўрикдан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ходимларга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ҳолларда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жараёнига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рухсат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2B4ECA9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F069A00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2.2.10.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зиммасига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ҳудудида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одоб-ахлоқ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қоидаларига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ички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риоя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78EC4B8A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8BDEAFB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2.2.11.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шахсан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шахсга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топширмаслиги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4D5DED07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C1ADB5B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доирасида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вақтинча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фойдаланишга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топширилган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ускуналар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жиҳозлар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идишлар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асбоблар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моддий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воситаларни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таъмирлаши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шунингдек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таъмирлаши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68BC478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75AFD83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имзолайдиган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қабул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қилиш-топшириш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далолатномасини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ускуналарни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жиҳозларни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асбобларни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моддий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воситаларни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қабул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75CAF37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A10138E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ҳақида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ой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огоҳлантириши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тугагунига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узлуксиз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кўрсатилишини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таъминлаши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04C5D239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5EA337C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2.2.15.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асосан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ўқитишни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малакасини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оширишни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ҳолларда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  <w:tr w:rsidR="002A7E01" w:rsidRPr="00EA18BB" w14:paraId="143B4F27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41E94B2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2.2.16.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ҳужжатларига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4EAFEE6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2584084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қуйидаги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ҳуқуқларга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A7E01" w:rsidRPr="00EA18BB" w14:paraId="434A31E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E58E4B1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сифатли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чиқарилиши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)ни</w:t>
            </w:r>
            <w:proofErr w:type="gram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2231A86C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068DEA2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фаолиятига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аралашмаган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бажарилишини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назорат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1A8A1F05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616FA38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бекор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тўғрисида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кун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огоҳлантириш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бунда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қийматини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62B4DB20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FD4D324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ҳужжатларига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7D550120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F474CAA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қуйидагиларга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A7E01" w:rsidRPr="00EA18BB" w14:paraId="7EEC6B6A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11933FE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йиғма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-фактура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ҳақини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A7E01" w:rsidRPr="00EA18BB" w14:paraId="45B7561A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EE1C109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доирасида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ускуналарни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жиҳозларни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асбобларни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моддий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воситаларни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вақтинча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фойдаланишга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2A7E01" w:rsidRPr="00EA18BB" w14:paraId="2FCC361D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56F0980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ҳужжатларига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0FFB4715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844BC5E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ўзаро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ҳисоб-китоблар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тартиби</w:t>
            </w:r>
            <w:proofErr w:type="spellEnd"/>
          </w:p>
        </w:tc>
      </w:tr>
      <w:tr w:rsidR="002A7E01" w:rsidRPr="00EA18BB" w14:paraId="50D8A756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5E29771" w14:textId="51C4C93C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иловасига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сўм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тийинни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491A0D92" w14:textId="77777777" w:rsidTr="00221C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2986D8E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CAF95DC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(сумма сон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сўз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714F862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A898AD0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99F24C8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952D09F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E01" w:rsidRPr="00EA18BB" w14:paraId="748078DF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7878185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7E01" w:rsidRPr="00EA18BB" w14:paraId="350E4BF9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FA9EDA2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тузилгандан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олдиндан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тулов 10 кун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мудатида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откизилади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70%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ўзаро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ҳисоб-китоблар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йиғма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-фактура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қиймати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кун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мудатида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19C6530B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0856D7F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Кўрсатиладиган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сони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ҳақидаги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маълумотлар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асосида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кундалик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биргаликда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тўланиши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лозим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имзоланадиган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йиғма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-фактура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EA18BB" w14:paraId="256140F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86C7F6C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далолатномаси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-фактура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вақтдан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бошлаб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10 банк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давомида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миқдорда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тўланади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EA18BB" w14:paraId="256FF168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F053286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иловасида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суммасини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ҳисоблаш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ташаббуси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чиқилади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05991361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28CFB7F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мажбуриятлари</w:t>
            </w:r>
            <w:proofErr w:type="spellEnd"/>
          </w:p>
        </w:tc>
      </w:tr>
      <w:tr w:rsidR="002A7E01" w:rsidRPr="00EA18BB" w14:paraId="11DEAFAB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C89145A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вақтида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ҳолларда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ўтказиб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юборилган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кун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қисмининг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фоиз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миқдорида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пеня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тўлайди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бунда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пенянинг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умумий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фоизидан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ошмаслиги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287AAC9C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2705E6F9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Пеня (жарима)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тўлаш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зиммасидаги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бузилишларни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бартараф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этмайди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020AD59B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53CA176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шартларининг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бажарилмаслиги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даражада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бажарилмаслиги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Фуқаролик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proofErr w:type="spellStart"/>
              <w:r w:rsidRPr="00EA18BB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кодекси</w:t>
              </w:r>
              <w:proofErr w:type="spellEnd"/>
            </w:hyperlink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талабларида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Хўжалик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юритувчи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фаолиятининг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шартномавий-ҳуқуқий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тўғрисида»ги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Pr="00EA18BB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>Қонуни</w:t>
              </w:r>
              <w:proofErr w:type="spellEnd"/>
              <w:r w:rsidRPr="00EA18BB">
                <w:rPr>
                  <w:rFonts w:ascii="Times New Roman" w:hAnsi="Times New Roman" w:cs="Times New Roman"/>
                  <w:color w:val="008080"/>
                  <w:sz w:val="24"/>
                  <w:szCs w:val="24"/>
                </w:rPr>
                <w:t xml:space="preserve"> </w:t>
              </w:r>
            </w:hyperlink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ҳамда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Республикасининг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норматив-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ҳужжатларида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жавобгар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бўладилар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52281B2F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4B15573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Буюртмачига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чоракда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маротаба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кўрсатилаётган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ижарага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иншоотларнинг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ҳолатини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ўтказишга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аутсорсернинг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молиявий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фаолиятига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аралашмаган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шароитлар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яратиш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27D627DF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7A7B4F6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тутилмаган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жавобгарлик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чоралари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ҳудудида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фуқаролик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қонунчилиги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нормаларига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мувофиқ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қўлланилади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510CF202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DC45C11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Мунозарали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вазиятларни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ҳал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этиш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тартиби</w:t>
            </w:r>
            <w:proofErr w:type="spellEnd"/>
          </w:p>
        </w:tc>
      </w:tr>
      <w:tr w:rsidR="002A7E01" w:rsidRPr="00EA18BB" w14:paraId="2461055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78AD1DE6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мумкин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келишмовчиликлар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имкон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ўртасида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музокара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ўтказиш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йўли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EA18BB" w14:paraId="25129A87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9163C43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келишмовчиликларни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ўртасида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музокара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ўтказиш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йўли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бўлмайдиган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ҳолатларда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қонунчилигида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келишмовчиликларни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бартараф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тартиб-таомили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оширилгандан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сўнг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улар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Ўзбекистон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қонунчилигида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тартибда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кўриб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чиқиш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18674C98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5BEEBC2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VI. Форс-мажор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ҳолатлар</w:t>
            </w:r>
            <w:proofErr w:type="spellEnd"/>
          </w:p>
        </w:tc>
      </w:tr>
      <w:tr w:rsidR="002A7E01" w:rsidRPr="00EA18BB" w14:paraId="5AA5849D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DF211E6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қисман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ёки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тўлиқ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бажарилмаганлиги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агар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бундай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бўлмас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куч,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яъни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фавқулодда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ҳолатлар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алоҳида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оқибати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ҳисобланса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давлатнинг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тегишли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тасдиқланса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жавобгарликдан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озод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қилинади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Бунда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бажариш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мутаносиб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равишда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ушбу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ҳодисалар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рўй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муддатга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3744B01A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ADD4FA2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Якунловчи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қоидалар</w:t>
            </w:r>
            <w:proofErr w:type="spellEnd"/>
          </w:p>
        </w:tc>
      </w:tr>
      <w:tr w:rsidR="002A7E01" w:rsidRPr="00EA18BB" w14:paraId="5490F5C8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1249C67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Ушбу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ўзгартириш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қўшимчалар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фақат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улар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шаклда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расмийлаштирилиб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ваколатли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вакиллари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томонидан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имзолангандан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сўнг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ҳақиқий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ҳисобланади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иловалари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ажралмас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қисмини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ташкил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EA18BB" w14:paraId="0AE1BCEF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831D5BE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ҳеч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бўйича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ўз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ҳуқуқ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мажбуриятларини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бошқа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ёзма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шаклдаги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розилигисиз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бирор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учинчи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юбориши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мумкин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эмас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A7E01" w:rsidRPr="00BF7FE7" w14:paraId="24FFFB2A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1119C750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7.3. Ушбу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икки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нусхада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тузилган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Иккала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нусха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хил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бўлиб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хил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юридик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ҳар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бирида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мазкур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нусхаси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бўлади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161BDCC6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B534F74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VIII.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Шартноманинг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амал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қилиш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муддати</w:t>
            </w:r>
            <w:proofErr w:type="spellEnd"/>
          </w:p>
        </w:tc>
      </w:tr>
      <w:tr w:rsidR="002A7E01" w:rsidRPr="00EA18BB" w14:paraId="58A0FB8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5F16448" w14:textId="34494ACA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Ушбу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Шартнома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имзоланган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пайтдан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кучга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қадар</w:t>
            </w:r>
            <w:proofErr w:type="spellEnd"/>
            <w:proofErr w:type="gram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қилади</w:t>
            </w:r>
            <w:proofErr w:type="spellEnd"/>
            <w:r w:rsidRPr="00EA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7E01" w:rsidRPr="00EA18BB" w14:paraId="047CF7F4" w14:textId="77777777" w:rsidTr="00221C1F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2DDDD3B" w14:textId="77777777" w:rsidR="002A7E01" w:rsidRPr="00EA18BB" w:rsidRDefault="002A7E01" w:rsidP="00221C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IX.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Томонларнинг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манзили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 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реквизитлари</w:t>
            </w:r>
            <w:proofErr w:type="spellEnd"/>
          </w:p>
        </w:tc>
      </w:tr>
      <w:tr w:rsidR="002A7E01" w:rsidRPr="00EA18BB" w14:paraId="0B865E89" w14:textId="77777777" w:rsidTr="00221C1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941051C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Аутсорсер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5E6DE939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399918AF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4154B768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6A0CF5B5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Буюртмачи</w:t>
            </w:r>
            <w:proofErr w:type="spellEnd"/>
            <w:r w:rsidRPr="00EA18B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14:paraId="0E3B144C" w14:textId="77777777" w:rsidR="002A7E01" w:rsidRPr="00EA18BB" w:rsidRDefault="002A7E01" w:rsidP="00221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05456C" w14:textId="77777777" w:rsidR="002A7E01" w:rsidRDefault="002A7E01" w:rsidP="002A7E01">
      <w:pPr>
        <w:ind w:firstLine="708"/>
        <w:rPr>
          <w:sz w:val="28"/>
          <w:szCs w:val="28"/>
        </w:rPr>
      </w:pPr>
    </w:p>
    <w:p w14:paraId="37452EC1" w14:textId="77777777" w:rsidR="002A7E01" w:rsidRPr="003C715B" w:rsidRDefault="002A7E01" w:rsidP="002A7E0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3C715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5B96E30C" w14:textId="77777777" w:rsidR="00F16A58" w:rsidRPr="002A7E01" w:rsidRDefault="00F16A58" w:rsidP="002A7E01"/>
    <w:sectPr w:rsidR="00F16A58" w:rsidRPr="002A7E01" w:rsidSect="003C715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13"/>
    <w:rsid w:val="002A7E01"/>
    <w:rsid w:val="00904813"/>
    <w:rsid w:val="00F1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5F41"/>
  <w15:chartTrackingRefBased/>
  <w15:docId w15:val="{791F78D0-F07C-461D-8175-0150A00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0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E01"/>
    <w:rPr>
      <w:b/>
      <w:bCs/>
    </w:rPr>
  </w:style>
  <w:style w:type="table" w:styleId="a4">
    <w:name w:val="Table Grid"/>
    <w:basedOn w:val="a1"/>
    <w:uiPriority w:val="59"/>
    <w:rsid w:val="002A7E0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.uz/docs/18942" TargetMode="External"/><Relationship Id="rId4" Type="http://schemas.openxmlformats.org/officeDocument/2006/relationships/hyperlink" Target="http://lex.uz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jvilyuza@mail.ru</dc:creator>
  <cp:keywords/>
  <dc:description/>
  <cp:lastModifiedBy>jvilyuza@mail.ru</cp:lastModifiedBy>
  <cp:revision>2</cp:revision>
  <dcterms:created xsi:type="dcterms:W3CDTF">2022-07-19T04:49:00Z</dcterms:created>
  <dcterms:modified xsi:type="dcterms:W3CDTF">2022-07-19T04:51:00Z</dcterms:modified>
</cp:coreProperties>
</file>