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ED6F0C" w:rsidRPr="00ED6F0C" w:rsidRDefault="00F555EC" w:rsidP="00346ABF">
      <w:pPr>
        <w:spacing w:before="60" w:after="60"/>
        <w:jc w:val="center"/>
        <w:rPr>
          <w:rFonts w:ascii="Times New Roman" w:hAnsi="Times New Roman"/>
          <w:sz w:val="28"/>
          <w:lang w:val="ru-RU"/>
        </w:rPr>
      </w:pPr>
      <w:r w:rsidRPr="00F555EC">
        <w:rPr>
          <w:rFonts w:ascii="Times New Roman" w:hAnsi="Times New Roman"/>
          <w:sz w:val="28"/>
          <w:szCs w:val="28"/>
          <w:lang w:val="ru-RU"/>
        </w:rPr>
        <w:t>Ремонт дома женщин, включенных в «</w:t>
      </w:r>
      <w:r>
        <w:rPr>
          <w:rFonts w:ascii="Times New Roman" w:hAnsi="Times New Roman"/>
          <w:sz w:val="28"/>
          <w:szCs w:val="28"/>
          <w:lang w:val="ru-RU"/>
        </w:rPr>
        <w:t>Аёллар дафтари</w:t>
      </w:r>
      <w:r w:rsidRPr="00F555EC">
        <w:rPr>
          <w:rFonts w:ascii="Times New Roman" w:hAnsi="Times New Roman"/>
          <w:sz w:val="28"/>
          <w:szCs w:val="28"/>
          <w:lang w:val="ru-RU"/>
        </w:rPr>
        <w:t>» в Элликкалинском районе</w:t>
      </w:r>
      <w:r w:rsidR="005E523E" w:rsidRPr="005E523E">
        <w:rPr>
          <w:rFonts w:ascii="Times New Roman" w:hAnsi="Times New Roman"/>
          <w:sz w:val="28"/>
          <w:szCs w:val="28"/>
          <w:lang w:val="ru-RU"/>
        </w:rPr>
        <w:t xml:space="preserve"> РК</w:t>
      </w:r>
      <w:r w:rsidR="000E069A">
        <w:rPr>
          <w:rFonts w:ascii="Times New Roman" w:hAnsi="Times New Roman"/>
          <w:sz w:val="28"/>
          <w:lang w:val="ru-RU"/>
        </w:rPr>
        <w:t>.</w:t>
      </w:r>
    </w:p>
    <w:p w:rsidR="0092504D" w:rsidRDefault="0092504D" w:rsidP="0092504D">
      <w:pPr>
        <w:spacing w:before="60" w:after="60"/>
        <w:jc w:val="center"/>
        <w:rPr>
          <w:rFonts w:ascii="Times New Roman" w:hAnsi="Times New Roman"/>
          <w:sz w:val="28"/>
          <w:szCs w:val="28"/>
          <w:lang w:val="ru-RU"/>
        </w:rPr>
      </w:pP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632F6B">
        <w:rPr>
          <w:rFonts w:ascii="Times New Roman" w:eastAsia="MS Mincho" w:hAnsi="Times New Roman"/>
          <w:sz w:val="28"/>
          <w:szCs w:val="28"/>
          <w:lang w:val="ru-RU" w:eastAsia="ja-JP"/>
        </w:rPr>
        <w:t>0</w:t>
      </w:r>
      <w:r w:rsidR="005E523E">
        <w:rPr>
          <w:rFonts w:ascii="Times New Roman" w:eastAsia="MS Mincho" w:hAnsi="Times New Roman"/>
          <w:sz w:val="28"/>
          <w:szCs w:val="28"/>
          <w:lang w:val="ru-RU" w:eastAsia="ja-JP"/>
        </w:rPr>
        <w:t>1</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5E523E" w:rsidRPr="005E523E">
        <w:rPr>
          <w:rFonts w:ascii="Times New Roman" w:hAnsi="Times New Roman"/>
          <w:sz w:val="28"/>
          <w:szCs w:val="28"/>
          <w:lang w:val="ru-RU"/>
        </w:rPr>
        <w:t xml:space="preserve">Элликкалинский районный </w:t>
      </w:r>
      <w:r w:rsidR="00F555EC">
        <w:rPr>
          <w:rFonts w:ascii="Times New Roman" w:hAnsi="Times New Roman"/>
          <w:sz w:val="28"/>
          <w:szCs w:val="28"/>
          <w:lang w:val="ru-RU"/>
        </w:rPr>
        <w:t>Хакимят</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6C33BA"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6C33BA"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6C33BA"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6C33BA"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F555EC" w:rsidTr="005E523E">
        <w:trPr>
          <w:trHeight w:val="881"/>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F555EC" w:rsidRPr="00F555EC" w:rsidRDefault="00F555EC" w:rsidP="00F555EC">
            <w:pPr>
              <w:spacing w:before="60" w:after="60"/>
              <w:jc w:val="center"/>
              <w:rPr>
                <w:rFonts w:ascii="Times New Roman" w:hAnsi="Times New Roman"/>
                <w:sz w:val="20"/>
                <w:szCs w:val="20"/>
                <w:lang w:val="ru-RU"/>
              </w:rPr>
            </w:pPr>
            <w:r w:rsidRPr="00F555EC">
              <w:rPr>
                <w:rFonts w:ascii="Times New Roman" w:hAnsi="Times New Roman"/>
                <w:sz w:val="20"/>
                <w:szCs w:val="20"/>
                <w:lang w:val="ru-RU"/>
              </w:rPr>
              <w:t>Ремонт дома женщин, включенных в «Аёллар дафтари» в Элликкалинском районе РК.</w:t>
            </w:r>
          </w:p>
          <w:p w:rsidR="00E55D94" w:rsidRPr="004D355F" w:rsidRDefault="00E55D94" w:rsidP="00632F6B">
            <w:pPr>
              <w:spacing w:before="60" w:after="60"/>
              <w:jc w:val="center"/>
              <w:rPr>
                <w:rFonts w:ascii="Times New Roman" w:hAnsi="Times New Roman"/>
                <w:sz w:val="20"/>
                <w:szCs w:val="20"/>
                <w:lang w:val="ru-RU"/>
              </w:rPr>
            </w:pP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E002CE" w:rsidP="00092E62">
            <w:pPr>
              <w:rPr>
                <w:rFonts w:ascii="Times New Roman" w:hAnsi="Times New Roman"/>
                <w:sz w:val="20"/>
                <w:szCs w:val="20"/>
                <w:lang w:val="ru-RU"/>
              </w:rPr>
            </w:pPr>
            <w:r>
              <w:rPr>
                <w:rFonts w:ascii="Times New Roman" w:hAnsi="Times New Roman"/>
                <w:sz w:val="20"/>
                <w:szCs w:val="20"/>
              </w:rPr>
              <w:t>I</w:t>
            </w:r>
            <w:r w:rsidR="003444A1">
              <w:rPr>
                <w:rFonts w:ascii="Times New Roman" w:hAnsi="Times New Roman"/>
                <w:sz w:val="20"/>
                <w:szCs w:val="20"/>
              </w:rPr>
              <w:t>I</w:t>
            </w:r>
            <w:r w:rsidR="00346ABF">
              <w:rPr>
                <w:rFonts w:ascii="Times New Roman" w:hAnsi="Times New Roman"/>
                <w:sz w:val="20"/>
                <w:szCs w:val="20"/>
              </w:rPr>
              <w:t>I</w:t>
            </w:r>
            <w:r w:rsidR="00346ABF">
              <w:rPr>
                <w:rFonts w:ascii="Times New Roman" w:hAnsi="Times New Roman"/>
                <w:sz w:val="20"/>
                <w:szCs w:val="20"/>
                <w:lang w:val="ru-RU"/>
              </w:rPr>
              <w:t>-</w:t>
            </w:r>
            <w:r>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136A2A" w:rsidP="00F555EC">
            <w:pPr>
              <w:rPr>
                <w:rFonts w:ascii="Times New Roman" w:hAnsi="Times New Roman"/>
                <w:sz w:val="20"/>
                <w:szCs w:val="20"/>
                <w:lang w:val="ru-RU"/>
              </w:rPr>
            </w:pPr>
            <w:r>
              <w:rPr>
                <w:rFonts w:ascii="Times New Roman" w:hAnsi="Times New Roman"/>
                <w:sz w:val="20"/>
                <w:szCs w:val="20"/>
                <w:lang w:val="ru-RU"/>
              </w:rPr>
              <w:t>«</w:t>
            </w:r>
            <w:r w:rsidR="005E523E">
              <w:rPr>
                <w:rFonts w:ascii="Times New Roman" w:hAnsi="Times New Roman"/>
                <w:sz w:val="20"/>
                <w:szCs w:val="20"/>
                <w:lang w:val="ru-RU"/>
              </w:rPr>
              <w:t>БЮДЖЕТ</w:t>
            </w:r>
            <w:r>
              <w:rPr>
                <w:rFonts w:ascii="Times New Roman" w:hAnsi="Times New Roman"/>
                <w:sz w:val="20"/>
                <w:szCs w:val="20"/>
                <w:lang w:val="ru-RU"/>
              </w:rPr>
              <w:t>»</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F555EC" w:rsidP="00F555EC">
            <w:pPr>
              <w:spacing w:before="60" w:after="60"/>
              <w:jc w:val="both"/>
              <w:rPr>
                <w:rFonts w:ascii="Times New Roman" w:hAnsi="Times New Roman"/>
                <w:sz w:val="20"/>
                <w:szCs w:val="20"/>
                <w:lang w:val="ru-RU"/>
              </w:rPr>
            </w:pPr>
            <w:r>
              <w:rPr>
                <w:rFonts w:ascii="Times New Roman" w:hAnsi="Times New Roman"/>
                <w:b/>
                <w:bCs/>
                <w:sz w:val="20"/>
                <w:szCs w:val="20"/>
                <w:lang w:val="ru-RU"/>
              </w:rPr>
              <w:t>213554553</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F555EC"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F555EC" w:rsidTr="00641819">
        <w:trPr>
          <w:trHeight w:val="2262"/>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7201AC">
              <w:rPr>
                <w:rFonts w:ascii="Times New Roman" w:hAnsi="Times New Roman"/>
                <w:b/>
                <w:sz w:val="20"/>
                <w:szCs w:val="20"/>
                <w:lang w:val="ru-RU"/>
              </w:rPr>
              <w:t>отбора</w:t>
            </w:r>
          </w:p>
        </w:tc>
        <w:tc>
          <w:tcPr>
            <w:tcW w:w="5783" w:type="dxa"/>
            <w:vAlign w:val="center"/>
          </w:tcPr>
          <w:p w:rsidR="00E55D94" w:rsidRPr="00092E62" w:rsidRDefault="00E55D94" w:rsidP="006E5608">
            <w:pPr>
              <w:rPr>
                <w:rFonts w:ascii="Times New Roman" w:hAnsi="Times New Roman"/>
                <w:sz w:val="20"/>
                <w:szCs w:val="20"/>
                <w:lang w:val="ru-RU"/>
              </w:rPr>
            </w:pPr>
            <w:r w:rsidRPr="00092E62">
              <w:rPr>
                <w:rFonts w:ascii="Times New Roman" w:hAnsi="Times New Roman"/>
                <w:i/>
                <w:sz w:val="20"/>
                <w:szCs w:val="20"/>
                <w:lang w:val="ru-RU"/>
              </w:rPr>
              <w:t xml:space="preserve">В </w:t>
            </w:r>
            <w:r w:rsidR="007201AC">
              <w:rPr>
                <w:rFonts w:ascii="Times New Roman" w:hAnsi="Times New Roman"/>
                <w:i/>
                <w:sz w:val="20"/>
                <w:szCs w:val="20"/>
                <w:lang w:val="ru-RU"/>
              </w:rPr>
              <w:t>отборе</w:t>
            </w:r>
            <w:r w:rsidRPr="00092E6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Pr>
                <w:rFonts w:ascii="Times New Roman" w:hAnsi="Times New Roman"/>
                <w:i/>
                <w:sz w:val="20"/>
                <w:szCs w:val="20"/>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136A2A" w:rsidP="006C7B9A">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9C0B7F">
              <w:rPr>
                <w:rFonts w:ascii="Times New Roman" w:hAnsi="Times New Roman"/>
                <w:sz w:val="20"/>
                <w:szCs w:val="20"/>
                <w:lang w:val="ru-RU"/>
              </w:rPr>
              <w:t xml:space="preserve"> рабочих дней</w:t>
            </w:r>
          </w:p>
        </w:tc>
      </w:tr>
      <w:tr w:rsidR="00AF7D6C" w:rsidRPr="00F555EC"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F555EC">
              <w:rPr>
                <w:rFonts w:ascii="Times New Roman" w:hAnsi="Times New Roman"/>
                <w:iCs/>
                <w:sz w:val="20"/>
                <w:szCs w:val="20"/>
                <w:lang w:val="ru-RU"/>
              </w:rPr>
              <w:t>Б.Алимов</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w:t>
            </w:r>
            <w:r w:rsidR="00F555EC">
              <w:rPr>
                <w:rFonts w:ascii="Times New Roman" w:hAnsi="Times New Roman"/>
                <w:iCs/>
                <w:sz w:val="20"/>
                <w:szCs w:val="20"/>
                <w:lang w:val="ru-RU"/>
              </w:rPr>
              <w:t xml:space="preserve">99897 </w:t>
            </w:r>
            <w:r w:rsidR="00F555EC" w:rsidRPr="00F555EC">
              <w:rPr>
                <w:rFonts w:ascii="Times New Roman" w:hAnsi="Times New Roman"/>
                <w:iCs/>
                <w:sz w:val="20"/>
                <w:szCs w:val="20"/>
                <w:lang w:val="ru-RU"/>
              </w:rPr>
              <w:t>711 77 89</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F555EC"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F555EC" w:rsidRPr="00F555EC" w:rsidRDefault="00155DD1" w:rsidP="00F555EC">
            <w:pPr>
              <w:spacing w:before="60" w:after="60"/>
              <w:jc w:val="center"/>
              <w:rPr>
                <w:rFonts w:ascii="Times New Roman" w:hAnsi="Times New Roman"/>
                <w:sz w:val="28"/>
                <w:szCs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293992" w:rsidRPr="00F555EC">
              <w:rPr>
                <w:rFonts w:ascii="Times New Roman" w:hAnsi="Times New Roman"/>
                <w:sz w:val="28"/>
                <w:szCs w:val="28"/>
                <w:lang w:val="ru-RU"/>
              </w:rPr>
              <w:t xml:space="preserve"> </w:t>
            </w:r>
            <w:r w:rsidR="00F555EC" w:rsidRPr="00F555EC">
              <w:rPr>
                <w:rFonts w:ascii="Times New Roman" w:hAnsi="Times New Roman"/>
                <w:sz w:val="28"/>
                <w:szCs w:val="28"/>
                <w:lang w:val="ru-RU"/>
              </w:rPr>
              <w:t>Ремонт дома женщин, включенных в «Аёллар дафтари» в Элликкалинском районе РК.</w:t>
            </w:r>
          </w:p>
          <w:p w:rsidR="00346ABF" w:rsidRPr="000E069A" w:rsidRDefault="00293992" w:rsidP="00346ABF">
            <w:pPr>
              <w:spacing w:before="60" w:after="60"/>
              <w:jc w:val="center"/>
              <w:rPr>
                <w:rFonts w:ascii="Times New Roman" w:hAnsi="Times New Roman"/>
                <w:sz w:val="28"/>
                <w:lang w:val="ru-RU"/>
              </w:rPr>
            </w:pPr>
            <w:r w:rsidRPr="00293992">
              <w:rPr>
                <w:rFonts w:ascii="Times New Roman" w:hAnsi="Times New Roman"/>
                <w:sz w:val="28"/>
                <w:szCs w:val="28"/>
                <w:lang w:val="ru-RU"/>
              </w:rPr>
              <w:t>.</w:t>
            </w:r>
          </w:p>
          <w:p w:rsidR="00155DD1" w:rsidRPr="00346ABF" w:rsidRDefault="00155DD1" w:rsidP="00723F6E">
            <w:pPr>
              <w:spacing w:before="60" w:after="60"/>
              <w:jc w:val="both"/>
              <w:rPr>
                <w:rFonts w:ascii="Times New Roman" w:hAnsi="Times New Roman"/>
                <w:sz w:val="28"/>
                <w:szCs w:val="28"/>
                <w:lang w:val="ru-RU"/>
              </w:rPr>
            </w:pP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F555EC" w:rsidP="00723F6E">
            <w:pPr>
              <w:spacing w:before="60" w:after="60"/>
              <w:jc w:val="both"/>
              <w:rPr>
                <w:rFonts w:ascii="Times New Roman" w:hAnsi="Times New Roman"/>
                <w:b/>
                <w:bCs/>
                <w:sz w:val="28"/>
                <w:szCs w:val="28"/>
                <w:lang w:val="ru-RU"/>
              </w:rPr>
            </w:pPr>
            <w:r>
              <w:rPr>
                <w:rFonts w:ascii="Times New Roman" w:hAnsi="Times New Roman"/>
                <w:b/>
                <w:bCs/>
                <w:sz w:val="28"/>
                <w:szCs w:val="28"/>
                <w:lang w:val="ru-RU"/>
              </w:rPr>
              <w:t>213554553</w:t>
            </w:r>
            <w:r w:rsidR="00723F6E" w:rsidRPr="00723F6E">
              <w:rPr>
                <w:rFonts w:ascii="Times New Roman" w:hAnsi="Times New Roman"/>
                <w:b/>
                <w:bCs/>
                <w:sz w:val="28"/>
                <w:szCs w:val="28"/>
                <w:lang w:val="ru-RU"/>
              </w:rPr>
              <w:t xml:space="preserve">,00 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w:t>
            </w:r>
            <w:r w:rsidR="00B07BB7">
              <w:rPr>
                <w:rFonts w:ascii="Times New Roman" w:hAnsi="Times New Roman"/>
                <w:sz w:val="28"/>
                <w:szCs w:val="28"/>
                <w:lang w:val="ru-RU" w:eastAsia="ru-RU"/>
              </w:rPr>
              <w:t xml:space="preserve"> </w:t>
            </w:r>
            <w:r w:rsidRPr="004F1627">
              <w:rPr>
                <w:rFonts w:ascii="Times New Roman" w:hAnsi="Times New Roman"/>
                <w:sz w:val="28"/>
                <w:szCs w:val="28"/>
                <w:lang w:val="ru-RU" w:eastAsia="ru-RU"/>
              </w:rPr>
              <w:t>коммуникационных технологий.</w:t>
            </w:r>
          </w:p>
        </w:tc>
      </w:tr>
      <w:tr w:rsidR="00155DD1" w:rsidRPr="00F555EC"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F555EC"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F555EC"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293992" w:rsidP="00346ABF">
            <w:pPr>
              <w:spacing w:before="60" w:after="60"/>
              <w:rPr>
                <w:rFonts w:ascii="Times New Roman" w:hAnsi="Times New Roman"/>
                <w:sz w:val="28"/>
                <w:szCs w:val="28"/>
                <w:lang w:val="ru-RU" w:eastAsia="ru-RU"/>
              </w:rPr>
            </w:pPr>
            <w:r w:rsidRPr="005E523E">
              <w:rPr>
                <w:rFonts w:ascii="Times New Roman" w:hAnsi="Times New Roman"/>
                <w:sz w:val="28"/>
                <w:szCs w:val="28"/>
                <w:lang w:val="ru-RU"/>
              </w:rPr>
              <w:t xml:space="preserve">Элликкалинский районный </w:t>
            </w:r>
            <w:r w:rsidR="00F555EC">
              <w:rPr>
                <w:rFonts w:ascii="Times New Roman" w:hAnsi="Times New Roman"/>
                <w:sz w:val="28"/>
                <w:szCs w:val="28"/>
                <w:lang w:val="ru-RU"/>
              </w:rPr>
              <w:t>Хакимята</w:t>
            </w:r>
            <w:r w:rsidR="00346ABF">
              <w:rPr>
                <w:rFonts w:ascii="Times New Roman" w:hAnsi="Times New Roman"/>
                <w:sz w:val="28"/>
                <w:szCs w:val="28"/>
                <w:lang w:val="ru-RU"/>
              </w:rPr>
              <w:t xml:space="preserve">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F555EC"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293992" w:rsidRPr="005E523E">
              <w:rPr>
                <w:rFonts w:ascii="Times New Roman" w:hAnsi="Times New Roman"/>
                <w:sz w:val="28"/>
                <w:szCs w:val="28"/>
                <w:lang w:val="ru-RU"/>
              </w:rPr>
              <w:t xml:space="preserve">Элликкалинский районный </w:t>
            </w:r>
            <w:r w:rsidR="00F555EC">
              <w:rPr>
                <w:rFonts w:ascii="Times New Roman" w:hAnsi="Times New Roman"/>
                <w:sz w:val="28"/>
                <w:szCs w:val="28"/>
                <w:lang w:val="ru-RU"/>
              </w:rPr>
              <w:t>Хакимят</w:t>
            </w:r>
            <w:r w:rsidR="00293992" w:rsidRPr="003A48E1">
              <w:rPr>
                <w:rFonts w:ascii="Times New Roman" w:hAnsi="Times New Roman"/>
                <w:sz w:val="28"/>
                <w:szCs w:val="28"/>
                <w:lang w:val="ru-RU"/>
              </w:rPr>
              <w:t xml:space="preserve"> </w:t>
            </w:r>
            <w:r w:rsidRPr="003A48E1">
              <w:rPr>
                <w:rFonts w:ascii="Times New Roman" w:hAnsi="Times New Roman"/>
                <w:sz w:val="28"/>
                <w:szCs w:val="28"/>
                <w:lang w:val="ru-RU"/>
              </w:rPr>
              <w:t>(далее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293992">
              <w:rPr>
                <w:rFonts w:ascii="Times New Roman" w:hAnsi="Times New Roman"/>
                <w:sz w:val="28"/>
                <w:szCs w:val="28"/>
                <w:lang w:val="ru-RU"/>
              </w:rPr>
              <w:t>Ш.Рашидов</w:t>
            </w:r>
            <w:r w:rsidR="00BE0C90">
              <w:rPr>
                <w:rFonts w:ascii="Times New Roman" w:hAnsi="Times New Roman"/>
                <w:sz w:val="28"/>
                <w:szCs w:val="28"/>
                <w:lang w:val="ru-RU"/>
              </w:rPr>
              <w:t xml:space="preserve"> дом №</w:t>
            </w:r>
            <w:r w:rsidR="00293992">
              <w:rPr>
                <w:rFonts w:ascii="Times New Roman" w:hAnsi="Times New Roman"/>
                <w:sz w:val="28"/>
                <w:szCs w:val="28"/>
                <w:lang w:val="ru-RU"/>
              </w:rPr>
              <w:t>3</w:t>
            </w:r>
            <w:r w:rsidRPr="003A48E1">
              <w:rPr>
                <w:rFonts w:ascii="Times New Roman" w:hAnsi="Times New Roman"/>
                <w:sz w:val="28"/>
                <w:szCs w:val="28"/>
                <w:lang w:val="ru-RU"/>
              </w:rPr>
              <w:t>.</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Контактное лицо –</w:t>
            </w:r>
            <w:r w:rsidR="00293992">
              <w:rPr>
                <w:rFonts w:ascii="Times New Roman" w:hAnsi="Times New Roman"/>
                <w:sz w:val="28"/>
                <w:szCs w:val="28"/>
                <w:lang w:val="ru-RU"/>
              </w:rPr>
              <w:t>Кулумов Одил</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F555EC">
              <w:rPr>
                <w:rFonts w:ascii="Times New Roman" w:hAnsi="Times New Roman"/>
                <w:sz w:val="28"/>
                <w:szCs w:val="28"/>
                <w:lang w:val="ru-RU"/>
              </w:rPr>
              <w:t>97 711 7789</w:t>
            </w:r>
          </w:p>
          <w:p w:rsidR="00155DD1" w:rsidRPr="00346ABF" w:rsidRDefault="00155DD1" w:rsidP="00D54029">
            <w:pPr>
              <w:spacing w:before="60" w:after="60"/>
              <w:jc w:val="both"/>
              <w:rPr>
                <w:rFonts w:ascii="Times New Roman" w:hAnsi="Times New Roman"/>
                <w:sz w:val="28"/>
                <w:szCs w:val="28"/>
                <w:lang w:val="ru-RU"/>
              </w:rPr>
            </w:pPr>
          </w:p>
        </w:tc>
      </w:tr>
      <w:tr w:rsidR="00155DD1" w:rsidRPr="00F555EC"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293992" w:rsidRPr="005E523E">
              <w:rPr>
                <w:rFonts w:ascii="Times New Roman" w:hAnsi="Times New Roman"/>
                <w:sz w:val="28"/>
                <w:szCs w:val="28"/>
                <w:lang w:val="ru-RU"/>
              </w:rPr>
              <w:t xml:space="preserve">Элликкалинский районный </w:t>
            </w:r>
            <w:r w:rsidR="00F555EC">
              <w:rPr>
                <w:rFonts w:ascii="Times New Roman" w:hAnsi="Times New Roman"/>
                <w:sz w:val="28"/>
                <w:szCs w:val="28"/>
                <w:lang w:val="ru-RU"/>
              </w:rPr>
              <w:t>Хакимят</w:t>
            </w:r>
          </w:p>
          <w:p w:rsidR="00155DD1" w:rsidRPr="00E40656" w:rsidRDefault="00155DD1" w:rsidP="00D77982">
            <w:pPr>
              <w:spacing w:before="60" w:after="60"/>
              <w:rPr>
                <w:rFonts w:ascii="Times New Roman" w:hAnsi="Times New Roman"/>
                <w:sz w:val="28"/>
                <w:szCs w:val="28"/>
                <w:lang w:val="ru-RU"/>
              </w:rPr>
            </w:pP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lastRenderedPageBreak/>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юридическое лицо, являющееся резидентом </w:t>
            </w:r>
            <w:r w:rsidRPr="00E40656">
              <w:rPr>
                <w:rFonts w:ascii="Times New Roman" w:hAnsi="Times New Roman"/>
                <w:sz w:val="28"/>
                <w:szCs w:val="28"/>
                <w:lang w:val="ru-RU"/>
              </w:rPr>
              <w:lastRenderedPageBreak/>
              <w:t xml:space="preserve">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r>
            <w:r w:rsidRPr="00A72DEA">
              <w:rPr>
                <w:rFonts w:ascii="Times New Roman" w:hAnsi="Times New Roman"/>
                <w:sz w:val="28"/>
                <w:szCs w:val="28"/>
                <w:lang w:val="ru-RU"/>
              </w:rPr>
              <w:lastRenderedPageBreak/>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lastRenderedPageBreak/>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lastRenderedPageBreak/>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По итогам электронного отбора из суммы </w:t>
            </w:r>
            <w:r>
              <w:rPr>
                <w:rFonts w:ascii="Times New Roman" w:hAnsi="Times New Roman"/>
                <w:sz w:val="28"/>
                <w:szCs w:val="28"/>
                <w:lang w:val="ru-RU"/>
              </w:rPr>
              <w:lastRenderedPageBreak/>
              <w:t xml:space="preserve">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w:t>
            </w:r>
            <w:r>
              <w:rPr>
                <w:rFonts w:ascii="Times New Roman" w:hAnsi="Times New Roman"/>
                <w:color w:val="000000" w:themeColor="text1"/>
                <w:sz w:val="28"/>
                <w:szCs w:val="28"/>
                <w:lang w:val="ru-RU"/>
              </w:rPr>
              <w:lastRenderedPageBreak/>
              <w:t>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участник совершает антиконкурентные </w:t>
            </w:r>
            <w:r w:rsidRPr="00E40656">
              <w:rPr>
                <w:rFonts w:ascii="Times New Roman" w:hAnsi="Times New Roman"/>
                <w:sz w:val="28"/>
                <w:szCs w:val="28"/>
                <w:lang w:val="ru-RU"/>
              </w:rPr>
              <w:lastRenderedPageBreak/>
              <w:t>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w:t>
            </w:r>
            <w:r w:rsidRPr="00E40656">
              <w:rPr>
                <w:rFonts w:ascii="Times New Roman" w:hAnsi="Times New Roman"/>
                <w:color w:val="000000" w:themeColor="text1"/>
                <w:sz w:val="28"/>
                <w:szCs w:val="28"/>
                <w:lang w:val="ru-RU"/>
              </w:rPr>
              <w:lastRenderedPageBreak/>
              <w:t xml:space="preserve">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F555EC"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w:t>
            </w:r>
            <w:r w:rsidRPr="00E40656">
              <w:rPr>
                <w:rFonts w:ascii="Times New Roman" w:hAnsi="Times New Roman"/>
                <w:sz w:val="28"/>
                <w:szCs w:val="28"/>
                <w:lang w:val="ru-RU"/>
              </w:rPr>
              <w:lastRenderedPageBreak/>
              <w:t>требования несет оператор.</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w:t>
            </w:r>
            <w:r w:rsidRPr="00E40656">
              <w:rPr>
                <w:rFonts w:ascii="Times New Roman" w:hAnsi="Times New Roman"/>
                <w:sz w:val="28"/>
                <w:szCs w:val="28"/>
                <w:lang w:val="ru-RU"/>
              </w:rPr>
              <w:lastRenderedPageBreak/>
              <w:t xml:space="preserve">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критериях и </w:t>
            </w:r>
            <w:r w:rsidRPr="00E40656">
              <w:rPr>
                <w:rFonts w:ascii="Times New Roman" w:hAnsi="Times New Roman"/>
                <w:sz w:val="28"/>
                <w:szCs w:val="28"/>
                <w:lang w:val="ru-RU"/>
              </w:rPr>
              <w:lastRenderedPageBreak/>
              <w:t>требованиях к товарам (работам, услугам).</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а до срока окончания подачи предложений вправе отозвать поданное предложение или внести в него изменения.</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F555E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F555EC"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F555EC"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F555EC"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F555EC"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F555EC"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F555EC"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F555EC"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F555EC"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F555EC"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F555EC"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F555EC"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F555EC"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F555EC"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F555EC"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F555EC"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F555EC"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F555EC"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F555EC"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F555EC"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F555EC"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F555EC"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F555EC"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F555EC"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F555EC"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F555EC"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F555EC"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F555EC"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F555EC"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F555EC"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F555EC"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F555EC"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F555EC"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F555EC"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F555EC"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740" w:rsidRDefault="00F01740">
      <w:r>
        <w:separator/>
      </w:r>
    </w:p>
  </w:endnote>
  <w:endnote w:type="continuationSeparator" w:id="1">
    <w:p w:rsidR="00F01740" w:rsidRDefault="00F01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632F6B" w:rsidRDefault="006C33BA">
        <w:pPr>
          <w:pStyle w:val="aa"/>
          <w:jc w:val="right"/>
        </w:pPr>
        <w:fldSimple w:instr="PAGE   \* MERGEFORMAT">
          <w:r w:rsidR="00F555EC">
            <w:rPr>
              <w:noProof/>
            </w:rPr>
            <w:t>9</w:t>
          </w:r>
        </w:fldSimple>
      </w:p>
    </w:sdtContent>
  </w:sdt>
  <w:p w:rsidR="00632F6B" w:rsidRDefault="00632F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740" w:rsidRDefault="00F01740">
      <w:r>
        <w:separator/>
      </w:r>
    </w:p>
  </w:footnote>
  <w:footnote w:type="continuationSeparator" w:id="1">
    <w:p w:rsidR="00F01740" w:rsidRDefault="00F01740">
      <w:r>
        <w:continuationSeparator/>
      </w:r>
    </w:p>
  </w:footnote>
  <w:footnote w:id="2">
    <w:p w:rsidR="00632F6B" w:rsidRPr="00346ABF" w:rsidRDefault="00632F6B"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632F6B" w:rsidRPr="00346ABF" w:rsidRDefault="00632F6B"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632F6B" w:rsidRPr="00346ABF" w:rsidRDefault="00632F6B"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632F6B" w:rsidRDefault="00632F6B"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69A"/>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A2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1EE1"/>
    <w:rsid w:val="001A345B"/>
    <w:rsid w:val="001A3A3A"/>
    <w:rsid w:val="001A3E34"/>
    <w:rsid w:val="001A4A98"/>
    <w:rsid w:val="001A4E94"/>
    <w:rsid w:val="001A525E"/>
    <w:rsid w:val="001B027D"/>
    <w:rsid w:val="001B2733"/>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411"/>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3992"/>
    <w:rsid w:val="002957B1"/>
    <w:rsid w:val="002A016A"/>
    <w:rsid w:val="002A0C4F"/>
    <w:rsid w:val="002A1515"/>
    <w:rsid w:val="002A1520"/>
    <w:rsid w:val="002A3C51"/>
    <w:rsid w:val="002A566A"/>
    <w:rsid w:val="002A5D8E"/>
    <w:rsid w:val="002A5E6A"/>
    <w:rsid w:val="002B22EE"/>
    <w:rsid w:val="002B3739"/>
    <w:rsid w:val="002B4182"/>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4186"/>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4C5E"/>
    <w:rsid w:val="003A5D89"/>
    <w:rsid w:val="003A5DDA"/>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0329"/>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1104"/>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23E"/>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2F6B"/>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15E9"/>
    <w:rsid w:val="006A1982"/>
    <w:rsid w:val="006A1A7B"/>
    <w:rsid w:val="006A1AAD"/>
    <w:rsid w:val="006A1DEB"/>
    <w:rsid w:val="006A286F"/>
    <w:rsid w:val="006A542E"/>
    <w:rsid w:val="006A69C4"/>
    <w:rsid w:val="006A6BD0"/>
    <w:rsid w:val="006A703A"/>
    <w:rsid w:val="006A75BD"/>
    <w:rsid w:val="006A7E09"/>
    <w:rsid w:val="006B046F"/>
    <w:rsid w:val="006B1C72"/>
    <w:rsid w:val="006B4AAE"/>
    <w:rsid w:val="006B5F35"/>
    <w:rsid w:val="006C09D7"/>
    <w:rsid w:val="006C2EA3"/>
    <w:rsid w:val="006C33BA"/>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130"/>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D4F"/>
    <w:rsid w:val="00A72DEA"/>
    <w:rsid w:val="00A73415"/>
    <w:rsid w:val="00A73A42"/>
    <w:rsid w:val="00A74F64"/>
    <w:rsid w:val="00A7532D"/>
    <w:rsid w:val="00A763B9"/>
    <w:rsid w:val="00A763E4"/>
    <w:rsid w:val="00A77A08"/>
    <w:rsid w:val="00A80D4E"/>
    <w:rsid w:val="00A824CE"/>
    <w:rsid w:val="00A8310F"/>
    <w:rsid w:val="00A8385D"/>
    <w:rsid w:val="00A83ACE"/>
    <w:rsid w:val="00A83E8B"/>
    <w:rsid w:val="00A841EA"/>
    <w:rsid w:val="00A84B7F"/>
    <w:rsid w:val="00A85214"/>
    <w:rsid w:val="00A8595D"/>
    <w:rsid w:val="00A85A95"/>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527F"/>
    <w:rsid w:val="00B06222"/>
    <w:rsid w:val="00B06B1B"/>
    <w:rsid w:val="00B07BB7"/>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421A"/>
    <w:rsid w:val="00B553D6"/>
    <w:rsid w:val="00B562A3"/>
    <w:rsid w:val="00B56AB2"/>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0C90"/>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E5D"/>
    <w:rsid w:val="00D67C7B"/>
    <w:rsid w:val="00D70D68"/>
    <w:rsid w:val="00D723B5"/>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31F"/>
    <w:rsid w:val="00E449A8"/>
    <w:rsid w:val="00E45F87"/>
    <w:rsid w:val="00E47E15"/>
    <w:rsid w:val="00E505B3"/>
    <w:rsid w:val="00E509D4"/>
    <w:rsid w:val="00E50CA4"/>
    <w:rsid w:val="00E510B7"/>
    <w:rsid w:val="00E532DB"/>
    <w:rsid w:val="00E5376A"/>
    <w:rsid w:val="00E55D94"/>
    <w:rsid w:val="00E564A7"/>
    <w:rsid w:val="00E617B6"/>
    <w:rsid w:val="00E627A7"/>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1740"/>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55EC"/>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83A"/>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32</Pages>
  <Words>7171</Words>
  <Characters>40875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47951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10</cp:revision>
  <cp:lastPrinted>2020-04-14T11:39:00Z</cp:lastPrinted>
  <dcterms:created xsi:type="dcterms:W3CDTF">2022-08-02T07:26:00Z</dcterms:created>
  <dcterms:modified xsi:type="dcterms:W3CDTF">2022-08-17T13:26:00Z</dcterms:modified>
</cp:coreProperties>
</file>