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CB" w:rsidRPr="00F41955" w:rsidRDefault="00494FCB" w:rsidP="00494FCB">
      <w:pPr>
        <w:jc w:val="center"/>
        <w:rPr>
          <w:rFonts w:eastAsia="Calibri"/>
          <w:b/>
          <w:sz w:val="22"/>
          <w:szCs w:val="22"/>
          <w:lang w:val="uz-Cyrl-UZ" w:eastAsia="en-US"/>
        </w:rPr>
      </w:pPr>
      <w:bookmarkStart w:id="0" w:name="_GoBack"/>
      <w:bookmarkEnd w:id="0"/>
      <w:r w:rsidRPr="00F41955">
        <w:rPr>
          <w:rFonts w:eastAsia="Calibri"/>
          <w:b/>
          <w:sz w:val="22"/>
          <w:szCs w:val="22"/>
          <w:lang w:val="uz-Cyrl-UZ" w:eastAsia="en-US"/>
        </w:rPr>
        <w:t>сонли шартнома</w:t>
      </w:r>
    </w:p>
    <w:p w:rsidR="00494FCB" w:rsidRPr="00F41955" w:rsidRDefault="00FB4701" w:rsidP="00494FCB">
      <w:pPr>
        <w:widowControl/>
        <w:autoSpaceDE/>
        <w:autoSpaceDN/>
        <w:adjustRightInd/>
        <w:spacing w:line="259" w:lineRule="auto"/>
        <w:jc w:val="center"/>
        <w:rPr>
          <w:rFonts w:eastAsia="Calibri"/>
          <w:b/>
          <w:sz w:val="22"/>
          <w:szCs w:val="22"/>
          <w:lang w:val="uz-Cyrl-UZ" w:eastAsia="en-US"/>
        </w:rPr>
      </w:pPr>
      <w:r>
        <w:rPr>
          <w:rFonts w:eastAsia="Calibri"/>
          <w:b/>
          <w:sz w:val="22"/>
          <w:szCs w:val="22"/>
          <w:lang w:val="uz-Cyrl-UZ" w:eastAsia="en-US"/>
        </w:rPr>
        <w:t xml:space="preserve"> </w:t>
      </w:r>
    </w:p>
    <w:p w:rsidR="00494FCB" w:rsidRPr="00F41955" w:rsidRDefault="00494FCB" w:rsidP="00494FCB">
      <w:pPr>
        <w:widowControl/>
        <w:autoSpaceDE/>
        <w:autoSpaceDN/>
        <w:adjustRightInd/>
        <w:spacing w:line="259" w:lineRule="auto"/>
        <w:jc w:val="center"/>
        <w:rPr>
          <w:rFonts w:eastAsia="Calibri"/>
          <w:sz w:val="22"/>
          <w:szCs w:val="22"/>
          <w:lang w:val="uz-Cyrl-UZ" w:eastAsia="en-US"/>
        </w:rPr>
      </w:pPr>
    </w:p>
    <w:p w:rsidR="00494FCB" w:rsidRPr="00F41955" w:rsidRDefault="00494FCB" w:rsidP="00494FCB">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 xml:space="preserve">           </w:t>
      </w:r>
      <w:r w:rsidRPr="00F41955">
        <w:rPr>
          <w:rFonts w:eastAsia="Calibri"/>
          <w:lang w:val="uz-Cyrl-UZ" w:eastAsia="en-US"/>
        </w:rPr>
        <w:t xml:space="preserve">                                           </w:t>
      </w:r>
      <w:r>
        <w:rPr>
          <w:rFonts w:eastAsia="Calibri"/>
          <w:lang w:val="uz-Cyrl-UZ" w:eastAsia="en-US"/>
        </w:rPr>
        <w:t>202</w:t>
      </w:r>
      <w:r w:rsidR="00FB200B">
        <w:rPr>
          <w:rFonts w:eastAsia="Calibri"/>
          <w:lang w:val="uz-Cyrl-UZ" w:eastAsia="en-US"/>
        </w:rPr>
        <w:t>2</w:t>
      </w:r>
      <w:r w:rsidRPr="00F41955">
        <w:rPr>
          <w:rFonts w:eastAsia="Calibri"/>
          <w:lang w:val="uz-Cyrl-UZ" w:eastAsia="en-US"/>
        </w:rPr>
        <w:t xml:space="preserve"> йил “____” </w:t>
      </w:r>
      <w:r>
        <w:rPr>
          <w:rFonts w:eastAsia="Calibri"/>
          <w:lang w:val="uz-Cyrl-UZ" w:eastAsia="en-US"/>
        </w:rPr>
        <w:t>______________</w:t>
      </w:r>
      <w:r w:rsidRPr="00F41955">
        <w:rPr>
          <w:rFonts w:eastAsia="Calibri"/>
          <w:b/>
          <w:lang w:val="uz-Cyrl-UZ" w:eastAsia="en-US"/>
        </w:rPr>
        <w:t xml:space="preserve"> </w:t>
      </w:r>
    </w:p>
    <w:p w:rsidR="00494FCB" w:rsidRPr="00F41955" w:rsidRDefault="003C461A" w:rsidP="00494FCB">
      <w:pPr>
        <w:widowControl/>
        <w:autoSpaceDE/>
        <w:autoSpaceDN/>
        <w:adjustRightInd/>
        <w:spacing w:line="242" w:lineRule="auto"/>
        <w:ind w:firstLine="709"/>
        <w:jc w:val="both"/>
        <w:rPr>
          <w:rFonts w:eastAsia="Calibri"/>
          <w:sz w:val="22"/>
          <w:szCs w:val="22"/>
          <w:lang w:val="uz-Cyrl-UZ" w:eastAsia="en-US"/>
        </w:rPr>
      </w:pPr>
      <w:r>
        <w:rPr>
          <w:b/>
          <w:sz w:val="24"/>
          <w:szCs w:val="24"/>
          <w:lang w:val="uz-Cyrl-UZ"/>
        </w:rPr>
        <w:t>_________________</w:t>
      </w:r>
      <w:r w:rsidR="00494FCB" w:rsidRPr="00F41955">
        <w:rPr>
          <w:rFonts w:eastAsia="Calibri"/>
          <w:sz w:val="22"/>
          <w:szCs w:val="22"/>
          <w:lang w:val="uz-Cyrl-UZ" w:eastAsia="en-US"/>
        </w:rPr>
        <w:t xml:space="preserve">номидан низом асосида иш юритувчи </w:t>
      </w:r>
      <w:r w:rsidR="00494FCB">
        <w:rPr>
          <w:rFonts w:eastAsia="Calibri"/>
          <w:sz w:val="22"/>
          <w:szCs w:val="22"/>
          <w:lang w:val="uz-Cyrl-UZ" w:eastAsia="en-US"/>
        </w:rPr>
        <w:t>директори</w:t>
      </w:r>
      <w:r w:rsidR="002F16AA">
        <w:rPr>
          <w:rFonts w:eastAsia="Calibri"/>
          <w:sz w:val="22"/>
          <w:szCs w:val="22"/>
          <w:lang w:val="uz-Cyrl-UZ" w:eastAsia="en-US"/>
        </w:rPr>
        <w:t xml:space="preserve"> </w:t>
      </w:r>
      <w:r w:rsidR="00D25530">
        <w:rPr>
          <w:rFonts w:eastAsia="Calibri"/>
          <w:sz w:val="22"/>
          <w:szCs w:val="22"/>
          <w:lang w:val="uz-Cyrl-UZ" w:eastAsia="en-US"/>
        </w:rPr>
        <w:t>_________________</w:t>
      </w:r>
      <w:r w:rsidR="00494FCB">
        <w:rPr>
          <w:rFonts w:eastAsia="Calibri"/>
          <w:sz w:val="22"/>
          <w:szCs w:val="22"/>
          <w:lang w:val="uz-Cyrl-UZ" w:eastAsia="en-US"/>
        </w:rPr>
        <w:t xml:space="preserve"> </w:t>
      </w:r>
      <w:r w:rsidR="00494FCB" w:rsidRPr="00F41955">
        <w:rPr>
          <w:rFonts w:eastAsia="Calibri"/>
          <w:sz w:val="22"/>
          <w:szCs w:val="22"/>
          <w:lang w:val="uz-Cyrl-UZ" w:eastAsia="en-US"/>
        </w:rPr>
        <w:t xml:space="preserve">бир томондан (бундан буён матнда “Бажарувчи” деб юритилади) ҳамда </w:t>
      </w:r>
      <w:r w:rsidR="00494FCB">
        <w:rPr>
          <w:rFonts w:eastAsia="Calibri"/>
          <w:sz w:val="22"/>
          <w:szCs w:val="22"/>
          <w:lang w:val="uz-Cyrl-UZ" w:eastAsia="en-US"/>
        </w:rPr>
        <w:t>низом</w:t>
      </w:r>
      <w:r w:rsidR="00494FCB" w:rsidRPr="00F41955">
        <w:rPr>
          <w:rFonts w:eastAsia="Calibri"/>
          <w:sz w:val="22"/>
          <w:szCs w:val="22"/>
          <w:lang w:val="uz-Cyrl-UZ" w:eastAsia="en-US"/>
        </w:rPr>
        <w:t xml:space="preserve"> асосида иш юритувчи </w:t>
      </w:r>
      <w:r w:rsidR="00D25530">
        <w:rPr>
          <w:rFonts w:eastAsia="Calibri"/>
          <w:b/>
          <w:sz w:val="22"/>
          <w:szCs w:val="22"/>
          <w:lang w:val="uz-Cyrl-UZ" w:eastAsia="en-US"/>
        </w:rPr>
        <w:t>________________</w:t>
      </w:r>
      <w:r w:rsidR="002F16AA">
        <w:rPr>
          <w:rFonts w:eastAsia="Calibri"/>
          <w:b/>
          <w:sz w:val="22"/>
          <w:szCs w:val="22"/>
          <w:lang w:val="uz-Cyrl-UZ" w:eastAsia="en-US"/>
        </w:rPr>
        <w:t xml:space="preserve"> </w:t>
      </w:r>
      <w:r w:rsidR="002F16AA">
        <w:rPr>
          <w:rFonts w:eastAsia="Calibri"/>
          <w:sz w:val="22"/>
          <w:szCs w:val="22"/>
          <w:lang w:val="uz-Cyrl-UZ" w:eastAsia="en-US"/>
        </w:rPr>
        <w:t xml:space="preserve">директори </w:t>
      </w:r>
      <w:r w:rsidR="00D25530">
        <w:rPr>
          <w:rFonts w:eastAsia="Calibri"/>
          <w:sz w:val="22"/>
          <w:szCs w:val="22"/>
          <w:lang w:val="uz-Cyrl-UZ" w:eastAsia="en-US"/>
        </w:rPr>
        <w:t>_________</w:t>
      </w:r>
      <w:r w:rsidR="00494FCB">
        <w:rPr>
          <w:rFonts w:eastAsia="Calibri"/>
          <w:sz w:val="22"/>
          <w:szCs w:val="22"/>
          <w:lang w:val="uz-Cyrl-UZ" w:eastAsia="en-US"/>
        </w:rPr>
        <w:t xml:space="preserve"> </w:t>
      </w:r>
      <w:r w:rsidR="00494FCB" w:rsidRPr="00F41955">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w:t>
      </w:r>
      <w:r>
        <w:rPr>
          <w:rFonts w:eastAsia="Calibri"/>
          <w:sz w:val="22"/>
          <w:szCs w:val="22"/>
          <w:lang w:val="uz-Cyrl-UZ" w:eastAsia="en-US"/>
        </w:rPr>
        <w:t xml:space="preserve">марказ худудидаги </w:t>
      </w:r>
      <w:r w:rsidR="00FA47E2">
        <w:rPr>
          <w:rFonts w:eastAsia="Calibri"/>
          <w:sz w:val="22"/>
          <w:szCs w:val="22"/>
          <w:lang w:val="uz-Cyrl-UZ" w:eastAsia="en-US"/>
        </w:rPr>
        <w:t>______________</w:t>
      </w:r>
      <w:r>
        <w:rPr>
          <w:rFonts w:eastAsia="Calibri"/>
          <w:sz w:val="22"/>
          <w:szCs w:val="22"/>
          <w:lang w:val="uz-Cyrl-UZ" w:eastAsia="en-US"/>
        </w:rPr>
        <w:t xml:space="preserve"> таъмирлаш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 xml:space="preserve">қабул қилиш ва ҳақини тўлаш мажбуриятини олади. Кўрсатиладиган хизматларнинг қатъий турлари, миқдори ва баҳоси ушбу шартноманинг </w:t>
      </w:r>
      <w:r>
        <w:rPr>
          <w:rFonts w:eastAsia="Calibri"/>
          <w:sz w:val="22"/>
          <w:szCs w:val="22"/>
          <w:lang w:val="uz-Cyrl-UZ" w:eastAsia="en-US"/>
        </w:rPr>
        <w:t>3.1 банди</w:t>
      </w:r>
      <w:r w:rsidRPr="00F41955">
        <w:rPr>
          <w:rFonts w:eastAsia="Calibri"/>
          <w:sz w:val="22"/>
          <w:szCs w:val="22"/>
          <w:lang w:val="uz-Cyrl-UZ" w:eastAsia="en-US"/>
        </w:rPr>
        <w:t>да келтирилади.</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494FCB" w:rsidRPr="005A1CD8"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баҳоси</w:t>
      </w:r>
      <w:r w:rsidR="001A249E">
        <w:rPr>
          <w:rFonts w:eastAsia="Calibri"/>
          <w:sz w:val="22"/>
          <w:szCs w:val="22"/>
          <w:lang w:val="uz-Cyrl-UZ" w:eastAsia="en-US"/>
        </w:rPr>
        <w:t xml:space="preserve"> __________</w:t>
      </w:r>
      <w:r w:rsidRPr="00F73C0F">
        <w:rPr>
          <w:rFonts w:eastAsia="Calibri"/>
          <w:sz w:val="22"/>
          <w:szCs w:val="22"/>
          <w:lang w:val="uz-Cyrl-UZ" w:eastAsia="en-US"/>
        </w:rPr>
        <w:t xml:space="preserve">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w:t>
      </w:r>
      <w:r w:rsidR="00FB200B">
        <w:rPr>
          <w:rFonts w:eastAsia="Calibri"/>
          <w:sz w:val="22"/>
          <w:szCs w:val="22"/>
          <w:lang w:val="uz-Cyrl-UZ" w:eastAsia="en-US"/>
        </w:rPr>
        <w:t xml:space="preserve"> ва  </w:t>
      </w:r>
      <w:r w:rsidR="00FB200B" w:rsidRPr="00F41955">
        <w:rPr>
          <w:rFonts w:eastAsia="Calibri"/>
          <w:sz w:val="22"/>
          <w:szCs w:val="22"/>
          <w:lang w:val="uz-Cyrl-UZ" w:eastAsia="en-US"/>
        </w:rPr>
        <w:t>келиб тушган санадан бошлаб ушбу шартноманинг мажбуриятлари бажарилиши бошланади</w:t>
      </w:r>
      <w:r w:rsidRPr="00F41955">
        <w:rPr>
          <w:rFonts w:eastAsia="Calibri"/>
          <w:sz w:val="22"/>
          <w:szCs w:val="22"/>
          <w:lang w:val="uz-Cyrl-UZ" w:eastAsia="en-US"/>
        </w:rPr>
        <w:t xml:space="preserve"> ва</w:t>
      </w:r>
      <w:r w:rsidR="00FB200B">
        <w:rPr>
          <w:rFonts w:eastAsia="Calibri"/>
          <w:sz w:val="22"/>
          <w:szCs w:val="22"/>
          <w:lang w:val="uz-Cyrl-UZ" w:eastAsia="en-US"/>
        </w:rPr>
        <w:t xml:space="preserve"> қолган 70%</w:t>
      </w:r>
      <w:r w:rsidRPr="00F41955">
        <w:rPr>
          <w:rFonts w:eastAsia="Calibri"/>
          <w:sz w:val="22"/>
          <w:szCs w:val="22"/>
          <w:lang w:val="uz-Cyrl-UZ" w:eastAsia="en-US"/>
        </w:rPr>
        <w:t xml:space="preserve"> маблағ</w:t>
      </w:r>
      <w:r w:rsidR="00FB200B">
        <w:rPr>
          <w:rFonts w:eastAsia="Calibri"/>
          <w:sz w:val="22"/>
          <w:szCs w:val="22"/>
          <w:lang w:val="uz-Cyrl-UZ" w:eastAsia="en-US"/>
        </w:rPr>
        <w:t xml:space="preserve"> ишлар бажарилгандан сўнг</w:t>
      </w:r>
      <w:r w:rsidRPr="00F41955">
        <w:rPr>
          <w:rFonts w:eastAsia="Calibri"/>
          <w:sz w:val="22"/>
          <w:szCs w:val="22"/>
          <w:lang w:val="uz-Cyrl-UZ" w:eastAsia="en-US"/>
        </w:rPr>
        <w:t xml:space="preserve"> Бажарувчининг ҳисобрақамига</w:t>
      </w:r>
      <w:r w:rsidR="00FB200B">
        <w:rPr>
          <w:rFonts w:eastAsia="Calibri"/>
          <w:sz w:val="22"/>
          <w:szCs w:val="22"/>
          <w:lang w:val="uz-Cyrl-UZ" w:eastAsia="en-US"/>
        </w:rPr>
        <w:t xml:space="preserve"> тўлаб берилади.</w:t>
      </w:r>
    </w:p>
    <w:p w:rsidR="00494FCB" w:rsidRPr="00F41955" w:rsidRDefault="00494FCB" w:rsidP="00494FCB">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lastRenderedPageBreak/>
        <w:t>Ғазначилик штампида кўрсатилган сана Буюртмачининг хизматлар учун тўловларни тўлаш бўйича мажбуриятларини бажарадиган кун ҳисобланади.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494FCB" w:rsidRPr="00F41955" w:rsidRDefault="00494FCB" w:rsidP="00494FCB">
      <w:pPr>
        <w:widowControl/>
        <w:autoSpaceDE/>
        <w:autoSpaceDN/>
        <w:adjustRightInd/>
        <w:spacing w:line="242" w:lineRule="auto"/>
        <w:ind w:firstLine="709"/>
        <w:jc w:val="both"/>
        <w:rPr>
          <w:rFonts w:eastAsia="Calibri"/>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494FCB" w:rsidRPr="00F41955" w:rsidRDefault="00494FCB" w:rsidP="00494FCB">
      <w:pPr>
        <w:widowControl/>
        <w:autoSpaceDE/>
        <w:autoSpaceDN/>
        <w:adjustRightInd/>
        <w:spacing w:line="242" w:lineRule="auto"/>
        <w:ind w:firstLine="709"/>
        <w:jc w:val="both"/>
        <w:rPr>
          <w:rFonts w:eastAsia="Calibri"/>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494FCB" w:rsidRPr="00F41955" w:rsidRDefault="00494FCB" w:rsidP="00494FCB">
      <w:pPr>
        <w:widowControl/>
        <w:autoSpaceDE/>
        <w:autoSpaceDN/>
        <w:adjustRightInd/>
        <w:spacing w:line="242" w:lineRule="auto"/>
        <w:ind w:firstLine="709"/>
        <w:jc w:val="both"/>
        <w:rPr>
          <w:rFonts w:eastAsia="Calibri"/>
          <w:b/>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494FCB" w:rsidRPr="00F41955" w:rsidRDefault="00494FCB" w:rsidP="00494FCB">
      <w:pPr>
        <w:widowControl/>
        <w:autoSpaceDE/>
        <w:autoSpaceDN/>
        <w:adjustRightInd/>
        <w:spacing w:line="242" w:lineRule="auto"/>
        <w:ind w:firstLine="709"/>
        <w:jc w:val="both"/>
        <w:rPr>
          <w:rFonts w:eastAsia="Calibri"/>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494FCB" w:rsidRPr="00F41955" w:rsidRDefault="00494FCB" w:rsidP="00494FCB">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494FCB" w:rsidRPr="00F41955" w:rsidRDefault="00494FCB" w:rsidP="00494FC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494FCB" w:rsidRPr="00F41955" w:rsidRDefault="00494FCB" w:rsidP="00494FCB">
      <w:pPr>
        <w:widowControl/>
        <w:autoSpaceDE/>
        <w:autoSpaceDN/>
        <w:adjustRightInd/>
        <w:spacing w:line="242" w:lineRule="auto"/>
        <w:ind w:firstLine="709"/>
        <w:jc w:val="both"/>
        <w:rPr>
          <w:rFonts w:eastAsia="Calibri"/>
          <w:sz w:val="22"/>
          <w:szCs w:val="22"/>
          <w:lang w:val="uz-Cyrl-UZ" w:eastAsia="en-US"/>
        </w:rPr>
      </w:pP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w:t>
      </w:r>
      <w:r w:rsidR="00FB200B">
        <w:rPr>
          <w:rFonts w:eastAsia="Calibri"/>
          <w:sz w:val="22"/>
          <w:szCs w:val="22"/>
          <w:lang w:val="uz-Cyrl-UZ" w:eastAsia="en-US"/>
        </w:rPr>
        <w:t xml:space="preserve">Ғазначилик бўлинмаларидан рўйҳатдан ўтгандан сўнг </w:t>
      </w:r>
      <w:r w:rsidRPr="00F41955">
        <w:rPr>
          <w:rFonts w:eastAsia="Calibri"/>
          <w:sz w:val="22"/>
          <w:szCs w:val="22"/>
          <w:lang w:val="uz-Cyrl-UZ" w:eastAsia="en-US"/>
        </w:rPr>
        <w:t>кучга киради ва 202</w:t>
      </w:r>
      <w:r w:rsidR="00A7310F">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494FCB" w:rsidRPr="00F41955" w:rsidRDefault="00494FCB" w:rsidP="00494FCB">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494FCB" w:rsidRPr="00F41955" w:rsidRDefault="00494FCB" w:rsidP="00494FC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494FCB" w:rsidRPr="00F41955" w:rsidRDefault="00494FCB" w:rsidP="00494FC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494FCB" w:rsidRPr="00F41955" w:rsidRDefault="00494FCB" w:rsidP="00494FCB">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8A3520" w:rsidRPr="00F41955" w:rsidTr="00DC567C">
        <w:tc>
          <w:tcPr>
            <w:tcW w:w="4678" w:type="dxa"/>
          </w:tcPr>
          <w:p w:rsidR="00494FCB" w:rsidRDefault="00494FCB" w:rsidP="00DC567C">
            <w:pPr>
              <w:widowControl/>
              <w:autoSpaceDE/>
              <w:autoSpaceDN/>
              <w:adjustRightInd/>
              <w:jc w:val="both"/>
              <w:rPr>
                <w:rFonts w:eastAsia="Calibri"/>
                <w:b/>
                <w:sz w:val="22"/>
                <w:szCs w:val="22"/>
                <w:lang w:val="uz-Cyrl-UZ" w:eastAsia="en-US"/>
              </w:rPr>
            </w:pPr>
            <w:r w:rsidRPr="00D06864">
              <w:rPr>
                <w:rFonts w:eastAsia="Calibri"/>
                <w:b/>
                <w:sz w:val="22"/>
                <w:szCs w:val="22"/>
                <w:lang w:val="uz-Cyrl-UZ" w:eastAsia="en-US"/>
              </w:rPr>
              <w:t xml:space="preserve">  </w:t>
            </w:r>
            <w:r w:rsidR="00D06864" w:rsidRPr="00D06864">
              <w:rPr>
                <w:rFonts w:eastAsia="Calibri"/>
                <w:b/>
                <w:sz w:val="22"/>
                <w:szCs w:val="22"/>
                <w:lang w:val="uz-Cyrl-UZ" w:eastAsia="en-US"/>
              </w:rPr>
              <w:t xml:space="preserve">                       </w:t>
            </w:r>
            <w:r w:rsidRPr="00D06864">
              <w:rPr>
                <w:rFonts w:eastAsia="Calibri"/>
                <w:b/>
                <w:sz w:val="22"/>
                <w:szCs w:val="22"/>
                <w:lang w:val="uz-Cyrl-UZ" w:eastAsia="en-US"/>
              </w:rPr>
              <w:t xml:space="preserve"> Бажарувчи:</w:t>
            </w:r>
          </w:p>
          <w:p w:rsidR="00690C7F" w:rsidRDefault="00690C7F" w:rsidP="00DC567C">
            <w:pPr>
              <w:widowControl/>
              <w:autoSpaceDE/>
              <w:autoSpaceDN/>
              <w:adjustRightInd/>
              <w:jc w:val="both"/>
              <w:rPr>
                <w:rFonts w:eastAsia="Calibri"/>
                <w:b/>
                <w:sz w:val="22"/>
                <w:szCs w:val="22"/>
                <w:lang w:val="uz-Cyrl-UZ" w:eastAsia="en-US"/>
              </w:rPr>
            </w:pPr>
          </w:p>
          <w:p w:rsidR="002F16AA" w:rsidRPr="00D06864" w:rsidRDefault="002F16AA" w:rsidP="00DC567C">
            <w:pPr>
              <w:widowControl/>
              <w:autoSpaceDE/>
              <w:autoSpaceDN/>
              <w:adjustRightInd/>
              <w:jc w:val="both"/>
              <w:rPr>
                <w:rFonts w:eastAsia="Calibri"/>
                <w:b/>
                <w:sz w:val="22"/>
                <w:szCs w:val="22"/>
                <w:lang w:val="uz-Cyrl-UZ" w:eastAsia="en-US"/>
              </w:rPr>
            </w:pPr>
            <w:r>
              <w:rPr>
                <w:b/>
                <w:sz w:val="24"/>
                <w:szCs w:val="24"/>
                <w:lang w:val="uz-Cyrl-UZ"/>
              </w:rPr>
              <w:t xml:space="preserve">     </w:t>
            </w:r>
          </w:p>
          <w:p w:rsidR="008A3520" w:rsidRDefault="008A3520" w:rsidP="00A7310F">
            <w:pPr>
              <w:widowControl/>
              <w:pBdr>
                <w:top w:val="single" w:sz="12" w:space="1" w:color="auto"/>
                <w:bottom w:val="single" w:sz="12" w:space="1" w:color="auto"/>
              </w:pBdr>
              <w:autoSpaceDE/>
              <w:autoSpaceDN/>
              <w:adjustRightInd/>
              <w:jc w:val="both"/>
              <w:rPr>
                <w:rFonts w:eastAsia="Calibri"/>
                <w:b/>
                <w:sz w:val="22"/>
                <w:szCs w:val="22"/>
                <w:lang w:val="uz-Cyrl-UZ" w:eastAsia="en-US"/>
              </w:rPr>
            </w:pPr>
          </w:p>
          <w:p w:rsidR="008A3520" w:rsidRDefault="002F16AA" w:rsidP="00DC567C">
            <w:pPr>
              <w:widowControl/>
              <w:pBdr>
                <w:bottom w:val="single" w:sz="12" w:space="1" w:color="auto"/>
                <w:between w:val="single" w:sz="12" w:space="1" w:color="auto"/>
              </w:pBdr>
              <w:autoSpaceDE/>
              <w:autoSpaceDN/>
              <w:adjustRightInd/>
              <w:ind w:left="178"/>
              <w:jc w:val="both"/>
              <w:rPr>
                <w:rFonts w:eastAsia="Calibri"/>
                <w:b/>
                <w:sz w:val="22"/>
                <w:szCs w:val="22"/>
                <w:lang w:val="uz-Cyrl-UZ" w:eastAsia="en-US"/>
              </w:rPr>
            </w:pPr>
            <w:r>
              <w:rPr>
                <w:rFonts w:eastAsia="Calibri"/>
                <w:b/>
                <w:sz w:val="22"/>
                <w:szCs w:val="22"/>
                <w:lang w:val="uz-Cyrl-UZ" w:eastAsia="en-US"/>
              </w:rPr>
              <w:t xml:space="preserve">х/р </w:t>
            </w:r>
          </w:p>
          <w:p w:rsidR="008A3520" w:rsidRPr="00FB200B" w:rsidRDefault="002F16AA" w:rsidP="00A7310F">
            <w:pPr>
              <w:widowControl/>
              <w:pBdr>
                <w:bottom w:val="single" w:sz="12" w:space="1" w:color="auto"/>
                <w:between w:val="single" w:sz="12" w:space="1" w:color="auto"/>
              </w:pBdr>
              <w:autoSpaceDE/>
              <w:autoSpaceDN/>
              <w:adjustRightInd/>
              <w:jc w:val="both"/>
              <w:rPr>
                <w:rFonts w:eastAsia="Calibri"/>
                <w:b/>
                <w:sz w:val="22"/>
                <w:szCs w:val="22"/>
                <w:lang w:eastAsia="en-US"/>
              </w:rPr>
            </w:pPr>
            <w:r w:rsidRPr="00FB200B">
              <w:rPr>
                <w:rFonts w:eastAsia="Calibri"/>
                <w:b/>
                <w:sz w:val="22"/>
                <w:szCs w:val="22"/>
                <w:lang w:eastAsia="en-US"/>
              </w:rPr>
              <w:t xml:space="preserve"> </w:t>
            </w:r>
            <w:proofErr w:type="spellStart"/>
            <w:r>
              <w:rPr>
                <w:rFonts w:eastAsia="Calibri"/>
                <w:b/>
                <w:sz w:val="22"/>
                <w:szCs w:val="22"/>
                <w:lang w:eastAsia="en-US"/>
              </w:rPr>
              <w:t>филиали</w:t>
            </w:r>
            <w:proofErr w:type="spellEnd"/>
          </w:p>
          <w:p w:rsidR="008A3520" w:rsidRPr="002F16AA" w:rsidRDefault="002F16AA" w:rsidP="00DC567C">
            <w:pPr>
              <w:widowControl/>
              <w:pBdr>
                <w:bottom w:val="single" w:sz="12" w:space="1" w:color="auto"/>
                <w:between w:val="single" w:sz="12" w:space="1" w:color="auto"/>
              </w:pBdr>
              <w:autoSpaceDE/>
              <w:autoSpaceDN/>
              <w:adjustRightInd/>
              <w:ind w:left="178"/>
              <w:jc w:val="both"/>
              <w:rPr>
                <w:rFonts w:eastAsia="Calibri"/>
                <w:b/>
                <w:sz w:val="22"/>
                <w:szCs w:val="22"/>
                <w:lang w:eastAsia="en-US"/>
              </w:rPr>
            </w:pPr>
            <w:proofErr w:type="gramStart"/>
            <w:r>
              <w:rPr>
                <w:rFonts w:eastAsia="Calibri"/>
                <w:b/>
                <w:sz w:val="22"/>
                <w:szCs w:val="22"/>
                <w:lang w:eastAsia="en-US"/>
              </w:rPr>
              <w:t>МФО :</w:t>
            </w:r>
            <w:proofErr w:type="gramEnd"/>
          </w:p>
          <w:p w:rsidR="008A3520" w:rsidRDefault="002F16AA" w:rsidP="00DC567C">
            <w:pPr>
              <w:widowControl/>
              <w:pBdr>
                <w:bottom w:val="single" w:sz="12" w:space="1" w:color="auto"/>
                <w:between w:val="single" w:sz="12" w:space="1" w:color="auto"/>
              </w:pBdr>
              <w:autoSpaceDE/>
              <w:autoSpaceDN/>
              <w:adjustRightInd/>
              <w:ind w:left="178"/>
              <w:jc w:val="both"/>
              <w:rPr>
                <w:rFonts w:eastAsia="Calibri"/>
                <w:b/>
                <w:sz w:val="22"/>
                <w:szCs w:val="22"/>
                <w:lang w:val="uz-Cyrl-UZ" w:eastAsia="en-US"/>
              </w:rPr>
            </w:pPr>
            <w:r>
              <w:rPr>
                <w:rFonts w:eastAsia="Calibri"/>
                <w:b/>
                <w:sz w:val="22"/>
                <w:szCs w:val="22"/>
                <w:lang w:val="uz-Cyrl-UZ" w:eastAsia="en-US"/>
              </w:rPr>
              <w:t>ИНН:</w:t>
            </w:r>
          </w:p>
          <w:p w:rsidR="008A3520" w:rsidRDefault="002F16AA" w:rsidP="00DC567C">
            <w:pPr>
              <w:widowControl/>
              <w:pBdr>
                <w:bottom w:val="single" w:sz="12" w:space="1" w:color="auto"/>
                <w:between w:val="single" w:sz="12" w:space="1" w:color="auto"/>
              </w:pBdr>
              <w:autoSpaceDE/>
              <w:autoSpaceDN/>
              <w:adjustRightInd/>
              <w:ind w:left="178"/>
              <w:jc w:val="both"/>
              <w:rPr>
                <w:rFonts w:eastAsia="Calibri"/>
                <w:b/>
                <w:sz w:val="22"/>
                <w:szCs w:val="22"/>
                <w:lang w:val="uz-Cyrl-UZ" w:eastAsia="en-US"/>
              </w:rPr>
            </w:pPr>
            <w:r>
              <w:rPr>
                <w:rFonts w:eastAsia="Calibri"/>
                <w:b/>
                <w:sz w:val="22"/>
                <w:szCs w:val="22"/>
                <w:lang w:val="uz-Cyrl-UZ" w:eastAsia="en-US"/>
              </w:rPr>
              <w:t>ОКЭД:</w:t>
            </w:r>
          </w:p>
          <w:p w:rsidR="00494FCB" w:rsidRDefault="00494FCB" w:rsidP="00DC567C">
            <w:pPr>
              <w:widowControl/>
              <w:autoSpaceDE/>
              <w:autoSpaceDN/>
              <w:adjustRightInd/>
              <w:ind w:firstLine="567"/>
              <w:jc w:val="both"/>
              <w:rPr>
                <w:rFonts w:eastAsia="Calibri"/>
                <w:b/>
                <w:bCs/>
                <w:sz w:val="22"/>
                <w:szCs w:val="22"/>
                <w:lang w:val="uz-Cyrl-UZ" w:eastAsia="en-US"/>
              </w:rPr>
            </w:pPr>
          </w:p>
          <w:p w:rsidR="00690C7F" w:rsidRPr="00D06864" w:rsidRDefault="00690C7F" w:rsidP="00DC567C">
            <w:pPr>
              <w:widowControl/>
              <w:autoSpaceDE/>
              <w:autoSpaceDN/>
              <w:adjustRightInd/>
              <w:ind w:firstLine="567"/>
              <w:jc w:val="both"/>
              <w:rPr>
                <w:rFonts w:eastAsia="Calibri"/>
                <w:b/>
                <w:bCs/>
                <w:sz w:val="22"/>
                <w:szCs w:val="22"/>
                <w:lang w:val="uz-Cyrl-UZ" w:eastAsia="en-US"/>
              </w:rPr>
            </w:pPr>
          </w:p>
          <w:p w:rsidR="00494FCB" w:rsidRPr="00D06864" w:rsidRDefault="00D06864" w:rsidP="00DC567C">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 xml:space="preserve">                     </w:t>
            </w:r>
            <w:r w:rsidR="00494FCB" w:rsidRPr="00D06864">
              <w:rPr>
                <w:rFonts w:eastAsia="Calibri"/>
                <w:b/>
                <w:sz w:val="22"/>
                <w:szCs w:val="22"/>
                <w:lang w:val="uz-Cyrl-UZ" w:eastAsia="en-US"/>
              </w:rPr>
              <w:t>Б</w:t>
            </w:r>
            <w:r w:rsidRPr="00D06864">
              <w:rPr>
                <w:rFonts w:eastAsia="Calibri"/>
                <w:b/>
                <w:sz w:val="22"/>
                <w:szCs w:val="22"/>
                <w:lang w:val="uz-Cyrl-UZ" w:eastAsia="en-US"/>
              </w:rPr>
              <w:t>ажарувчи</w:t>
            </w:r>
            <w:r w:rsidR="00494FCB" w:rsidRPr="00D06864">
              <w:rPr>
                <w:rFonts w:eastAsia="Calibri"/>
                <w:b/>
                <w:bCs/>
                <w:sz w:val="22"/>
                <w:szCs w:val="22"/>
                <w:lang w:val="uz-Cyrl-UZ" w:eastAsia="en-US"/>
              </w:rPr>
              <w:t>:</w:t>
            </w:r>
          </w:p>
          <w:p w:rsidR="00494FCB" w:rsidRPr="00D06864" w:rsidRDefault="00494FCB" w:rsidP="00DC567C">
            <w:pPr>
              <w:widowControl/>
              <w:autoSpaceDE/>
              <w:autoSpaceDN/>
              <w:adjustRightInd/>
              <w:ind w:firstLine="567"/>
              <w:jc w:val="both"/>
              <w:rPr>
                <w:rFonts w:eastAsia="Calibri"/>
                <w:b/>
                <w:sz w:val="22"/>
                <w:szCs w:val="22"/>
                <w:lang w:val="uz-Cyrl-UZ" w:eastAsia="en-US"/>
              </w:rPr>
            </w:pPr>
            <w:r w:rsidRPr="00D06864">
              <w:rPr>
                <w:rFonts w:eastAsia="Calibri"/>
                <w:b/>
                <w:sz w:val="22"/>
                <w:szCs w:val="22"/>
                <w:lang w:val="uz-Cyrl-UZ" w:eastAsia="en-US"/>
              </w:rPr>
              <w:t xml:space="preserve">_____________ </w:t>
            </w:r>
          </w:p>
          <w:p w:rsidR="00494FCB" w:rsidRPr="00D06864" w:rsidRDefault="00494FCB" w:rsidP="00DC567C">
            <w:pPr>
              <w:widowControl/>
              <w:autoSpaceDE/>
              <w:autoSpaceDN/>
              <w:adjustRightInd/>
              <w:ind w:firstLine="567"/>
              <w:jc w:val="both"/>
              <w:rPr>
                <w:rFonts w:eastAsia="Calibri"/>
                <w:b/>
                <w:sz w:val="22"/>
                <w:szCs w:val="22"/>
                <w:lang w:val="uz-Cyrl-UZ" w:eastAsia="en-US"/>
              </w:rPr>
            </w:pPr>
          </w:p>
        </w:tc>
        <w:tc>
          <w:tcPr>
            <w:tcW w:w="4820" w:type="dxa"/>
          </w:tcPr>
          <w:p w:rsidR="00494FCB" w:rsidRDefault="00D06864" w:rsidP="00DC567C">
            <w:pPr>
              <w:widowControl/>
              <w:autoSpaceDE/>
              <w:autoSpaceDN/>
              <w:adjustRightInd/>
              <w:ind w:left="178"/>
              <w:jc w:val="both"/>
              <w:rPr>
                <w:rFonts w:eastAsia="Calibri"/>
                <w:b/>
                <w:sz w:val="22"/>
                <w:szCs w:val="22"/>
                <w:lang w:val="uz-Cyrl-UZ" w:eastAsia="en-US"/>
              </w:rPr>
            </w:pPr>
            <w:r w:rsidRPr="00D06864">
              <w:rPr>
                <w:rFonts w:eastAsia="Calibri"/>
                <w:b/>
                <w:sz w:val="22"/>
                <w:szCs w:val="22"/>
                <w:lang w:val="uz-Cyrl-UZ" w:eastAsia="en-US"/>
              </w:rPr>
              <w:t xml:space="preserve">                         </w:t>
            </w:r>
            <w:r w:rsidR="00494FCB" w:rsidRPr="00D06864">
              <w:rPr>
                <w:rFonts w:eastAsia="Calibri"/>
                <w:b/>
                <w:sz w:val="22"/>
                <w:szCs w:val="22"/>
                <w:lang w:val="uz-Cyrl-UZ" w:eastAsia="en-US"/>
              </w:rPr>
              <w:t>Буюртмачи:</w:t>
            </w:r>
          </w:p>
          <w:p w:rsidR="00690C7F" w:rsidRPr="00D06864" w:rsidRDefault="00690C7F" w:rsidP="00DC567C">
            <w:pPr>
              <w:widowControl/>
              <w:autoSpaceDE/>
              <w:autoSpaceDN/>
              <w:adjustRightInd/>
              <w:ind w:left="178"/>
              <w:jc w:val="both"/>
              <w:rPr>
                <w:rFonts w:eastAsia="Calibri"/>
                <w:b/>
                <w:sz w:val="22"/>
                <w:szCs w:val="22"/>
                <w:lang w:val="uz-Cyrl-UZ" w:eastAsia="en-US"/>
              </w:rPr>
            </w:pPr>
          </w:p>
          <w:p w:rsidR="00FB4701" w:rsidRPr="00690C7F" w:rsidRDefault="00FB4701" w:rsidP="00A7310F">
            <w:pPr>
              <w:widowControl/>
              <w:autoSpaceDE/>
              <w:autoSpaceDN/>
              <w:adjustRightInd/>
              <w:jc w:val="both"/>
              <w:rPr>
                <w:rFonts w:eastAsia="Calibri"/>
                <w:b/>
                <w:bCs/>
                <w:sz w:val="24"/>
                <w:szCs w:val="24"/>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690C7F" w:rsidRDefault="00690C7F" w:rsidP="00DC567C">
            <w:pPr>
              <w:widowControl/>
              <w:autoSpaceDE/>
              <w:autoSpaceDN/>
              <w:adjustRightInd/>
              <w:ind w:firstLine="567"/>
              <w:jc w:val="both"/>
              <w:rPr>
                <w:rFonts w:eastAsia="Calibri"/>
                <w:b/>
                <w:bCs/>
                <w:sz w:val="22"/>
                <w:szCs w:val="22"/>
                <w:lang w:val="uz-Cyrl-UZ" w:eastAsia="en-US"/>
              </w:rPr>
            </w:pPr>
          </w:p>
          <w:p w:rsidR="00494FCB" w:rsidRPr="00D06864" w:rsidRDefault="00D06864" w:rsidP="00DC567C">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 xml:space="preserve">            </w:t>
            </w:r>
            <w:r w:rsidR="00494FCB" w:rsidRPr="00D06864">
              <w:rPr>
                <w:rFonts w:eastAsia="Calibri"/>
                <w:b/>
                <w:sz w:val="22"/>
                <w:szCs w:val="22"/>
                <w:lang w:val="uz-Cyrl-UZ" w:eastAsia="en-US"/>
              </w:rPr>
              <w:t>Буюртмачи</w:t>
            </w:r>
            <w:r w:rsidR="00494FCB" w:rsidRPr="00D06864">
              <w:rPr>
                <w:rFonts w:eastAsia="Calibri"/>
                <w:b/>
                <w:bCs/>
                <w:sz w:val="22"/>
                <w:szCs w:val="22"/>
                <w:lang w:val="uz-Cyrl-UZ" w:eastAsia="en-US"/>
              </w:rPr>
              <w:t>:</w:t>
            </w:r>
          </w:p>
          <w:p w:rsidR="00494FCB" w:rsidRPr="00D06864" w:rsidRDefault="00494FCB" w:rsidP="00DC567C">
            <w:pPr>
              <w:widowControl/>
              <w:autoSpaceDE/>
              <w:autoSpaceDN/>
              <w:adjustRightInd/>
              <w:ind w:firstLine="567"/>
              <w:jc w:val="both"/>
              <w:rPr>
                <w:rFonts w:eastAsia="Calibri"/>
                <w:b/>
                <w:sz w:val="22"/>
                <w:szCs w:val="22"/>
                <w:lang w:val="uz-Cyrl-UZ" w:eastAsia="en-US"/>
              </w:rPr>
            </w:pPr>
            <w:r w:rsidRPr="00D06864">
              <w:rPr>
                <w:rFonts w:eastAsia="Calibri"/>
                <w:b/>
                <w:sz w:val="22"/>
                <w:szCs w:val="22"/>
                <w:lang w:val="uz-Cyrl-UZ" w:eastAsia="en-US"/>
              </w:rPr>
              <w:t xml:space="preserve">____________ </w:t>
            </w:r>
          </w:p>
          <w:p w:rsidR="00494FCB" w:rsidRPr="00D06864" w:rsidRDefault="00494FCB" w:rsidP="00DC567C">
            <w:pPr>
              <w:widowControl/>
              <w:autoSpaceDE/>
              <w:autoSpaceDN/>
              <w:adjustRightInd/>
              <w:ind w:firstLine="567"/>
              <w:jc w:val="both"/>
              <w:rPr>
                <w:rFonts w:eastAsia="Calibri"/>
                <w:b/>
                <w:sz w:val="22"/>
                <w:szCs w:val="22"/>
                <w:lang w:val="uz-Cyrl-UZ" w:eastAsia="en-US"/>
              </w:rPr>
            </w:pPr>
          </w:p>
        </w:tc>
      </w:tr>
    </w:tbl>
    <w:p w:rsidR="00A87B8F" w:rsidRDefault="00A87B8F" w:rsidP="00494FCB"/>
    <w:sectPr w:rsidR="00A87B8F" w:rsidSect="00FB4701">
      <w:pgSz w:w="11906" w:h="16838"/>
      <w:pgMar w:top="737"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CB"/>
    <w:rsid w:val="001A249E"/>
    <w:rsid w:val="002F16AA"/>
    <w:rsid w:val="003C461A"/>
    <w:rsid w:val="00494FCB"/>
    <w:rsid w:val="0051075E"/>
    <w:rsid w:val="005639A6"/>
    <w:rsid w:val="00690C7F"/>
    <w:rsid w:val="0080507A"/>
    <w:rsid w:val="008A3520"/>
    <w:rsid w:val="00A7310F"/>
    <w:rsid w:val="00A87B8F"/>
    <w:rsid w:val="00AD2A84"/>
    <w:rsid w:val="00D06864"/>
    <w:rsid w:val="00D25530"/>
    <w:rsid w:val="00FA47E2"/>
    <w:rsid w:val="00FB200B"/>
    <w:rsid w:val="00FB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3FD9E-750D-432C-9A94-5D2E9F4F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F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0"/>
    <w:rPr>
      <w:rFonts w:ascii="Segoe UI" w:hAnsi="Segoe UI" w:cs="Segoe UI"/>
      <w:sz w:val="18"/>
      <w:szCs w:val="18"/>
    </w:rPr>
  </w:style>
  <w:style w:type="character" w:customStyle="1" w:styleId="a4">
    <w:name w:val="Текст выноски Знак"/>
    <w:basedOn w:val="a0"/>
    <w:link w:val="a3"/>
    <w:uiPriority w:val="99"/>
    <w:semiHidden/>
    <w:rsid w:val="008A352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2</cp:revision>
  <cp:lastPrinted>2021-05-11T10:37:00Z</cp:lastPrinted>
  <dcterms:created xsi:type="dcterms:W3CDTF">2022-03-04T13:48:00Z</dcterms:created>
  <dcterms:modified xsi:type="dcterms:W3CDTF">2022-03-04T13:48:00Z</dcterms:modified>
</cp:coreProperties>
</file>