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proofErr w:type="gramStart"/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spellStart"/>
      <w:proofErr w:type="gramEnd"/>
      <w:r w:rsidR="00504919" w:rsidRPr="0024249E">
        <w:rPr>
          <w:sz w:val="25"/>
          <w:szCs w:val="25"/>
        </w:rPr>
        <w:t>сум</w:t>
      </w:r>
      <w:proofErr w:type="spellEnd"/>
      <w:r w:rsidR="00504919" w:rsidRPr="0024249E">
        <w:rPr>
          <w:sz w:val="25"/>
          <w:szCs w:val="25"/>
        </w:rPr>
        <w:t xml:space="preserve">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="00A91486" w:rsidRPr="0024249E">
        <w:rPr>
          <w:sz w:val="25"/>
          <w:szCs w:val="25"/>
        </w:rPr>
        <w:t xml:space="preserve">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24249E">
        <w:rPr>
          <w:sz w:val="25"/>
          <w:szCs w:val="25"/>
        </w:rPr>
        <w:t>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</w:t>
      </w:r>
      <w:proofErr w:type="spellStart"/>
      <w:r w:rsidR="005A23DE" w:rsidRPr="0024249E">
        <w:rPr>
          <w:sz w:val="25"/>
          <w:szCs w:val="25"/>
        </w:rPr>
        <w:t>утвержание</w:t>
      </w:r>
      <w:proofErr w:type="spellEnd"/>
      <w:r w:rsidR="005A23DE" w:rsidRPr="0024249E">
        <w:rPr>
          <w:sz w:val="25"/>
          <w:szCs w:val="25"/>
        </w:rPr>
        <w:t xml:space="preserve">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полном  объеме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  <w:proofErr w:type="gramEnd"/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24249E">
        <w:rPr>
          <w:sz w:val="25"/>
          <w:szCs w:val="25"/>
        </w:rPr>
        <w:t>и</w:t>
      </w:r>
      <w:proofErr w:type="gramEnd"/>
      <w:r w:rsidR="00363BAF" w:rsidRPr="0024249E">
        <w:rPr>
          <w:sz w:val="25"/>
          <w:szCs w:val="25"/>
        </w:rPr>
        <w:t xml:space="preserve">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Подрядчик сохраняет </w:t>
      </w:r>
      <w:proofErr w:type="gramStart"/>
      <w:r w:rsidRPr="0024249E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24249E">
        <w:rPr>
          <w:sz w:val="25"/>
          <w:szCs w:val="25"/>
        </w:rPr>
        <w:t>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proofErr w:type="gramStart"/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24249E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spellStart"/>
      <w:proofErr w:type="gramStart"/>
      <w:r w:rsidRPr="0024249E">
        <w:rPr>
          <w:sz w:val="25"/>
          <w:szCs w:val="25"/>
        </w:rPr>
        <w:t>представителя-технического</w:t>
      </w:r>
      <w:proofErr w:type="spellEnd"/>
      <w:proofErr w:type="gram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</w:t>
      </w:r>
      <w:proofErr w:type="gramStart"/>
      <w:r w:rsidR="00946E06" w:rsidRPr="0024249E">
        <w:rPr>
          <w:sz w:val="25"/>
          <w:szCs w:val="25"/>
        </w:rPr>
        <w:t>.</w:t>
      </w:r>
      <w:r w:rsidR="002E2E7D" w:rsidRPr="0024249E">
        <w:rPr>
          <w:sz w:val="25"/>
          <w:szCs w:val="25"/>
        </w:rPr>
        <w:t>П</w:t>
      </w:r>
      <w:proofErr w:type="gramEnd"/>
      <w:r w:rsidR="002E2E7D" w:rsidRPr="0024249E">
        <w:rPr>
          <w:sz w:val="25"/>
          <w:szCs w:val="25"/>
        </w:rPr>
        <w:t>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p w:rsidR="00FA3368" w:rsidRDefault="00FA3368" w:rsidP="00197CB8">
      <w:pPr>
        <w:jc w:val="both"/>
        <w:rPr>
          <w:sz w:val="28"/>
          <w:szCs w:val="28"/>
        </w:rPr>
      </w:pPr>
    </w:p>
    <w:sectPr w:rsidR="00FA336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571C7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4BE9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19A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A56E0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1E5E"/>
    <w:rsid w:val="00F7723D"/>
    <w:rsid w:val="00F81092"/>
    <w:rsid w:val="00F85DBD"/>
    <w:rsid w:val="00FA08E8"/>
    <w:rsid w:val="00FA2595"/>
    <w:rsid w:val="00FA3368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6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FF8B-274B-4729-90BC-D52ACEA7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user</cp:lastModifiedBy>
  <cp:revision>4</cp:revision>
  <cp:lastPrinted>2020-01-20T13:04:00Z</cp:lastPrinted>
  <dcterms:created xsi:type="dcterms:W3CDTF">2022-03-24T15:38:00Z</dcterms:created>
  <dcterms:modified xsi:type="dcterms:W3CDTF">2022-08-02T13:03:00Z</dcterms:modified>
</cp:coreProperties>
</file>