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54" w:rsidRDefault="00DB6909">
      <w:pPr>
        <w:ind w:left="284"/>
        <w:jc w:val="center"/>
        <w:rPr>
          <w:b/>
          <w:lang w:val="en-US"/>
        </w:rPr>
      </w:pPr>
      <w:r>
        <w:rPr>
          <w:b/>
          <w:lang w:val="en-US"/>
        </w:rPr>
        <w:t>SH</w:t>
      </w:r>
      <w:r>
        <w:rPr>
          <w:b/>
          <w:lang w:val="uz-Cyrl-UZ"/>
        </w:rPr>
        <w:t xml:space="preserve"> </w:t>
      </w:r>
      <w:r>
        <w:rPr>
          <w:b/>
          <w:lang w:val="en-US"/>
        </w:rPr>
        <w:t>A</w:t>
      </w:r>
      <w:r>
        <w:rPr>
          <w:b/>
          <w:lang w:val="uz-Cyrl-UZ"/>
        </w:rPr>
        <w:t xml:space="preserve"> </w:t>
      </w:r>
      <w:r>
        <w:rPr>
          <w:b/>
          <w:lang w:val="en-US"/>
        </w:rPr>
        <w:t>R</w:t>
      </w:r>
      <w:r>
        <w:rPr>
          <w:b/>
          <w:lang w:val="uz-Cyrl-UZ"/>
        </w:rPr>
        <w:t xml:space="preserve"> </w:t>
      </w:r>
      <w:r>
        <w:rPr>
          <w:b/>
          <w:lang w:val="en-US"/>
        </w:rPr>
        <w:t>T</w:t>
      </w:r>
      <w:r>
        <w:rPr>
          <w:b/>
          <w:lang w:val="uz-Cyrl-UZ"/>
        </w:rPr>
        <w:t xml:space="preserve"> </w:t>
      </w:r>
      <w:r>
        <w:rPr>
          <w:b/>
          <w:lang w:val="en-US"/>
        </w:rPr>
        <w:t>N</w:t>
      </w:r>
      <w:r>
        <w:rPr>
          <w:b/>
          <w:lang w:val="uz-Cyrl-UZ"/>
        </w:rPr>
        <w:t xml:space="preserve"> </w:t>
      </w:r>
      <w:r>
        <w:rPr>
          <w:b/>
          <w:lang w:val="en-US"/>
        </w:rPr>
        <w:t>O</w:t>
      </w:r>
      <w:r>
        <w:rPr>
          <w:b/>
          <w:lang w:val="uz-Cyrl-UZ"/>
        </w:rPr>
        <w:t xml:space="preserve"> </w:t>
      </w:r>
      <w:r>
        <w:rPr>
          <w:b/>
          <w:lang w:val="en-US"/>
        </w:rPr>
        <w:t>M</w:t>
      </w:r>
      <w:r>
        <w:rPr>
          <w:b/>
          <w:lang w:val="uz-Cyrl-UZ"/>
        </w:rPr>
        <w:t xml:space="preserve"> </w:t>
      </w:r>
      <w:r>
        <w:rPr>
          <w:b/>
          <w:lang w:val="en-US"/>
        </w:rPr>
        <w:t>A</w:t>
      </w:r>
      <w:r>
        <w:rPr>
          <w:b/>
          <w:lang w:val="uz-Cyrl-UZ"/>
        </w:rPr>
        <w:t xml:space="preserve"> </w:t>
      </w:r>
      <w:r>
        <w:rPr>
          <w:b/>
          <w:lang w:val="en-US"/>
        </w:rPr>
        <w:t>S</w:t>
      </w:r>
      <w:r>
        <w:rPr>
          <w:b/>
          <w:lang w:val="uz-Cyrl-UZ"/>
        </w:rPr>
        <w:t xml:space="preserve"> </w:t>
      </w:r>
      <w:r>
        <w:rPr>
          <w:b/>
          <w:lang w:val="en-US"/>
        </w:rPr>
        <w:t>I №</w:t>
      </w:r>
    </w:p>
    <w:p w:rsidR="00550054" w:rsidRDefault="00550054">
      <w:pPr>
        <w:ind w:left="284"/>
        <w:jc w:val="both"/>
        <w:rPr>
          <w:b/>
          <w:bCs/>
          <w:lang w:val="uz-Cyrl-UZ"/>
        </w:rPr>
      </w:pPr>
    </w:p>
    <w:p w:rsidR="00550054" w:rsidRDefault="00DB6909">
      <w:pPr>
        <w:pStyle w:val="a5"/>
        <w:ind w:left="284"/>
        <w:jc w:val="left"/>
        <w:rPr>
          <w:b/>
          <w:bCs/>
          <w:sz w:val="24"/>
          <w:lang w:val="uz-Cyrl-UZ"/>
        </w:rPr>
      </w:pPr>
      <w:r>
        <w:rPr>
          <w:b/>
          <w:bCs/>
          <w:sz w:val="24"/>
          <w:lang w:val="uz-Cyrl-UZ"/>
        </w:rPr>
        <w:t xml:space="preserve">      </w:t>
      </w:r>
    </w:p>
    <w:p w:rsidR="00550054" w:rsidRPr="00DB6909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 xml:space="preserve"> </w:t>
      </w:r>
      <w:r>
        <w:rPr>
          <w:b/>
          <w:lang w:val="uz-Cyrl-UZ"/>
        </w:rPr>
        <w:tab/>
        <w:t xml:space="preserve">« </w:t>
      </w:r>
      <w:r>
        <w:rPr>
          <w:b/>
          <w:lang w:val="uz-Cyrl-UZ"/>
        </w:rPr>
        <w:t xml:space="preserve">» </w:t>
      </w:r>
      <w:r>
        <w:rPr>
          <w:b/>
          <w:i/>
          <w:lang w:val="uz-Cyrl-UZ"/>
        </w:rPr>
        <w:t>(</w:t>
      </w:r>
      <w:r>
        <w:rPr>
          <w:i/>
          <w:lang w:val="uz-Cyrl-UZ"/>
        </w:rPr>
        <w:t xml:space="preserve">keyingi o‘rinlarda </w:t>
      </w:r>
      <w:r>
        <w:rPr>
          <w:b/>
          <w:i/>
          <w:lang w:val="uz-Cyrl-UZ"/>
        </w:rPr>
        <w:t>«Sotuvchi»</w:t>
      </w:r>
      <w:r>
        <w:rPr>
          <w:i/>
          <w:lang w:val="uz-Cyrl-UZ"/>
        </w:rPr>
        <w:t xml:space="preserve"> deb yuritiladi)</w:t>
      </w:r>
      <w:r>
        <w:rPr>
          <w:lang w:val="uz-Cyrl-UZ"/>
        </w:rPr>
        <w:t xml:space="preserve"> o‘zining Nizomi asosida ish yurituvchi </w:t>
      </w:r>
      <w:r>
        <w:rPr>
          <w:lang w:val="uz-Cyrl-UZ"/>
        </w:rPr>
        <w:t xml:space="preserve">bir tomondan va </w:t>
      </w:r>
      <w:r>
        <w:rPr>
          <w:i/>
          <w:lang w:val="uz-Cyrl-UZ"/>
        </w:rPr>
        <w:t xml:space="preserve">(keyingi o‘rinda – </w:t>
      </w:r>
      <w:r>
        <w:rPr>
          <w:b/>
          <w:i/>
          <w:lang w:val="uz-Cyrl-UZ"/>
        </w:rPr>
        <w:t>“Sotib oluvchi”)</w:t>
      </w:r>
      <w:r>
        <w:rPr>
          <w:b/>
          <w:lang w:val="uz-Cyrl-UZ"/>
        </w:rPr>
        <w:t xml:space="preserve"> </w:t>
      </w:r>
      <w:r>
        <w:rPr>
          <w:lang w:val="uz-Cyrl-UZ"/>
        </w:rPr>
        <w:t xml:space="preserve">nomidan, </w:t>
      </w:r>
      <w:r>
        <w:rPr>
          <w:lang w:val="uz-Cyrl-UZ"/>
        </w:rPr>
        <w:t xml:space="preserve">asosida harakat qiluvchi rahbari </w:t>
      </w:r>
      <w:r>
        <w:rPr>
          <w:lang w:val="uz-Cyrl-UZ"/>
        </w:rPr>
        <w:t>ikkinchi tomondan mazkur shartnomani qo‘yida</w:t>
      </w:r>
      <w:r>
        <w:rPr>
          <w:lang w:val="uz-Cyrl-UZ"/>
        </w:rPr>
        <w:t>gilar haqida tuzdilar.</w:t>
      </w:r>
    </w:p>
    <w:p w:rsidR="00550054" w:rsidRDefault="00550054">
      <w:pPr>
        <w:ind w:left="284"/>
        <w:jc w:val="both"/>
        <w:rPr>
          <w:b/>
          <w:bCs/>
          <w:lang w:val="uz-Cyrl-UZ"/>
        </w:rPr>
      </w:pPr>
    </w:p>
    <w:p w:rsidR="00550054" w:rsidRDefault="00DB6909">
      <w:pPr>
        <w:pStyle w:val="aa"/>
        <w:numPr>
          <w:ilvl w:val="0"/>
          <w:numId w:val="1"/>
        </w:numPr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SHARTNOMANING  PREDMETI  </w:t>
      </w:r>
    </w:p>
    <w:p w:rsidR="00550054" w:rsidRDefault="00DB6909">
      <w:pPr>
        <w:pStyle w:val="aa"/>
        <w:numPr>
          <w:ilvl w:val="1"/>
          <w:numId w:val="1"/>
        </w:numPr>
        <w:tabs>
          <w:tab w:val="left" w:pos="938"/>
        </w:tabs>
        <w:spacing w:after="0" w:line="240" w:lineRule="auto"/>
        <w:ind w:left="284" w:firstLine="567"/>
        <w:jc w:val="both"/>
        <w:textAlignment w:val="baseline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Mazkur shartnoma shartlariga muvofiq </w:t>
      </w:r>
      <w:r>
        <w:rPr>
          <w:rFonts w:ascii="Times New Roman" w:hAnsi="Times New Roman"/>
          <w:sz w:val="24"/>
          <w:szCs w:val="24"/>
          <w:lang w:val="uz-Cyrl-UZ"/>
        </w:rPr>
        <w:t xml:space="preserve">«Sotuvchi» o‘ziga tegishli bo‘lgan tovar (ish, xizmat)ni ushbu Shartnomaga asosan “Sotib oluvchi”ga mulk qilib topshirish, «Sotib oluvchi» esa tovar (ish, xizmat)ni kabul kilish va ushbu Shartnomada belgilangan muddatlarda qo‘yidagi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majburiyatini o‘z zimma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siga oladi; </w:t>
      </w:r>
    </w:p>
    <w:p w:rsidR="00550054" w:rsidRDefault="00550054">
      <w:pPr>
        <w:pStyle w:val="aa"/>
        <w:tabs>
          <w:tab w:val="left" w:pos="938"/>
        </w:tabs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10235" w:type="dxa"/>
        <w:tblInd w:w="250" w:type="dxa"/>
        <w:tblLook w:val="04A0" w:firstRow="1" w:lastRow="0" w:firstColumn="1" w:lastColumn="0" w:noHBand="0" w:noVBand="1"/>
      </w:tblPr>
      <w:tblGrid>
        <w:gridCol w:w="743"/>
        <w:gridCol w:w="3081"/>
        <w:gridCol w:w="1313"/>
        <w:gridCol w:w="1354"/>
        <w:gridCol w:w="1645"/>
        <w:gridCol w:w="2099"/>
      </w:tblGrid>
      <w:tr w:rsidR="00550054">
        <w:trPr>
          <w:trHeight w:val="62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b/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b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b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b/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b/>
                <w:color w:val="000000"/>
              </w:rPr>
            </w:pPr>
          </w:p>
        </w:tc>
      </w:tr>
      <w:tr w:rsidR="00550054">
        <w:trPr>
          <w:trHeight w:val="30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rPr>
                <w:color w:val="000000"/>
                <w:lang w:val="uz-Cyrl-UZ"/>
              </w:rPr>
            </w:pP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</w:tr>
      <w:tr w:rsidR="00550054">
        <w:trPr>
          <w:trHeight w:val="30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uz-Cyrl-UZ"/>
              </w:rPr>
            </w:pPr>
          </w:p>
        </w:tc>
        <w:tc>
          <w:tcPr>
            <w:tcW w:w="3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rPr>
                <w:color w:val="000000"/>
                <w:lang w:val="en-US"/>
              </w:rPr>
            </w:pP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</w:tr>
      <w:tr w:rsidR="00550054">
        <w:trPr>
          <w:trHeight w:val="30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rPr>
                <w:color w:val="000000"/>
                <w:lang w:val="en-US"/>
              </w:rPr>
            </w:pP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</w:tr>
      <w:tr w:rsidR="00550054">
        <w:trPr>
          <w:trHeight w:val="30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rPr>
                <w:color w:val="000000"/>
                <w:lang w:val="en-US"/>
              </w:rPr>
            </w:pP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</w:tr>
      <w:tr w:rsidR="00550054">
        <w:trPr>
          <w:trHeight w:val="30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rPr>
                <w:color w:val="000000"/>
                <w:lang w:val="en-US"/>
              </w:rPr>
            </w:pP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</w:tr>
      <w:tr w:rsidR="00550054">
        <w:trPr>
          <w:trHeight w:val="30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rPr>
                <w:color w:val="000000"/>
                <w:lang w:val="en-US"/>
              </w:rPr>
            </w:pP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</w:tr>
      <w:tr w:rsidR="00550054">
        <w:trPr>
          <w:trHeight w:val="300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rPr>
                <w:color w:val="000000"/>
                <w:lang w:val="en-US"/>
              </w:rPr>
            </w:pP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054" w:rsidRDefault="00550054">
            <w:pPr>
              <w:ind w:left="284"/>
              <w:jc w:val="center"/>
              <w:rPr>
                <w:color w:val="000000"/>
                <w:lang w:val="en-US"/>
              </w:rPr>
            </w:pPr>
          </w:p>
        </w:tc>
      </w:tr>
    </w:tbl>
    <w:p w:rsidR="00550054" w:rsidRDefault="00550054">
      <w:pPr>
        <w:pStyle w:val="aa"/>
        <w:spacing w:before="120" w:after="0"/>
        <w:ind w:left="284"/>
        <w:rPr>
          <w:rFonts w:ascii="Times New Roman" w:hAnsi="Times New Roman"/>
          <w:b/>
          <w:bCs/>
          <w:smallCaps/>
          <w:color w:val="000000"/>
          <w:sz w:val="24"/>
          <w:szCs w:val="24"/>
          <w:lang w:val="uz-Cyrl-UZ"/>
        </w:rPr>
      </w:pPr>
    </w:p>
    <w:p w:rsidR="00550054" w:rsidRDefault="00DB6909">
      <w:pPr>
        <w:pStyle w:val="aa"/>
        <w:numPr>
          <w:ilvl w:val="0"/>
          <w:numId w:val="1"/>
        </w:numPr>
        <w:spacing w:before="120" w:after="0"/>
        <w:ind w:left="284"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smallCaps/>
          <w:color w:val="000000"/>
          <w:sz w:val="24"/>
          <w:szCs w:val="24"/>
          <w:lang w:val="uz-Cyrl-UZ"/>
        </w:rPr>
        <w:t>SHARTNOMA NARXI VA HISOB-KITOB QILISH TARTIBI</w:t>
      </w:r>
    </w:p>
    <w:p w:rsidR="00550054" w:rsidRPr="00DB6909" w:rsidRDefault="00DB6909">
      <w:pPr>
        <w:ind w:left="284"/>
        <w:rPr>
          <w:lang w:val="en-US"/>
        </w:rPr>
      </w:pPr>
      <w:r>
        <w:rPr>
          <w:lang w:val="uz-Cyrl-UZ"/>
        </w:rPr>
        <w:t>2.1.Ushbu shartnomaning umumiy summasi</w:t>
      </w:r>
      <w:r>
        <w:rPr>
          <w:lang w:val="en-US"/>
        </w:rPr>
        <w:t xml:space="preserve"> </w:t>
      </w:r>
      <w:r w:rsidRPr="00DB6909">
        <w:rPr>
          <w:lang w:val="en-US"/>
        </w:rPr>
        <w:t xml:space="preserve">                                                                      </w:t>
      </w:r>
      <w:r>
        <w:rPr>
          <w:lang w:val="uz-Cyrl-UZ"/>
        </w:rPr>
        <w:t>tashkil etadi.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 xml:space="preserve">2.2. Sotib olinadigan Tovar </w:t>
      </w:r>
      <w:r>
        <w:rPr>
          <w:i/>
          <w:lang w:val="uz-Cyrl-UZ"/>
        </w:rPr>
        <w:t>(maxsulot, ish, xizmat)</w:t>
      </w:r>
      <w:r>
        <w:rPr>
          <w:lang w:val="uz-Cyrl-UZ"/>
        </w:rPr>
        <w:t xml:space="preserve"> uchun oldindan to‘lov miqdori </w:t>
      </w:r>
      <w:r>
        <w:rPr>
          <w:b/>
          <w:lang w:val="uz-Cyrl-UZ"/>
        </w:rPr>
        <w:t>_</w:t>
      </w:r>
      <w:r>
        <w:rPr>
          <w:b/>
          <w:u w:val="single"/>
          <w:lang w:val="uz-Cyrl-UZ"/>
        </w:rPr>
        <w:t>30</w:t>
      </w:r>
      <w:r>
        <w:rPr>
          <w:b/>
          <w:lang w:val="uz-Cyrl-UZ"/>
        </w:rPr>
        <w:t>_</w:t>
      </w:r>
      <w:r>
        <w:rPr>
          <w:lang w:val="uz-Cyrl-UZ"/>
        </w:rPr>
        <w:t xml:space="preserve"> foizini tashkil kiladi. Tovar </w:t>
      </w:r>
      <w:r>
        <w:rPr>
          <w:i/>
          <w:lang w:val="uz-Cyrl-UZ"/>
        </w:rPr>
        <w:t>(maxsulot, ish, xizmat)</w:t>
      </w:r>
      <w:r>
        <w:rPr>
          <w:lang w:val="uz-Cyrl-UZ"/>
        </w:rPr>
        <w:t xml:space="preserve"> summasining </w:t>
      </w:r>
      <w:r>
        <w:rPr>
          <w:b/>
          <w:u w:val="single"/>
          <w:lang w:val="uz-Cyrl-UZ"/>
        </w:rPr>
        <w:t>70</w:t>
      </w:r>
      <w:r>
        <w:rPr>
          <w:lang w:val="uz-Cyrl-UZ"/>
        </w:rPr>
        <w:t xml:space="preserve"> foizi miqdoridagi yakuniy to‘lov mahsulot to‘liq “Sotib oluvchi”ga yetkazib berilgandan so‘ng h</w:t>
      </w:r>
      <w:r>
        <w:rPr>
          <w:color w:val="000000"/>
          <w:lang w:val="uz-Cyrl-UZ"/>
        </w:rPr>
        <w:t xml:space="preserve">isob-kitoblarni solishtirish dalolatnomasi </w:t>
      </w:r>
      <w:r>
        <w:rPr>
          <w:lang w:val="uz-Cyrl-UZ"/>
        </w:rPr>
        <w:t>asosida amalga oshiriladi.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 xml:space="preserve">2.3. </w:t>
      </w:r>
      <w:r>
        <w:rPr>
          <w:color w:val="000000"/>
          <w:lang w:val="uz-Cyrl-UZ"/>
        </w:rPr>
        <w:t>Shartnoma bo‘yicha to‘lov “Sotib oluvchi”ning O‘zbekiston Respublikasi Moliya vazirli</w:t>
      </w:r>
      <w:r>
        <w:rPr>
          <w:color w:val="000000"/>
          <w:lang w:val="uz-Cyrl-UZ"/>
        </w:rPr>
        <w:t xml:space="preserve">gi G‘aznachilikdagi hisob raqami orqali </w:t>
      </w:r>
      <w:r>
        <w:rPr>
          <w:lang w:val="uz-Cyrl-UZ"/>
        </w:rPr>
        <w:t xml:space="preserve">naqd pulsiz shaklda pul ko‘chirish </w:t>
      </w:r>
      <w:r>
        <w:rPr>
          <w:color w:val="000000"/>
          <w:lang w:val="uz-Cyrl-UZ"/>
        </w:rPr>
        <w:t>yo‘li bilan amalga oshiriladi.</w:t>
      </w:r>
      <w:r>
        <w:rPr>
          <w:lang w:val="uz-Cyrl-UZ"/>
        </w:rPr>
        <w:t xml:space="preserve"> </w:t>
      </w:r>
    </w:p>
    <w:p w:rsidR="00550054" w:rsidRDefault="00550054">
      <w:pPr>
        <w:ind w:left="284"/>
        <w:jc w:val="both"/>
        <w:rPr>
          <w:lang w:val="uz-Cyrl-UZ"/>
        </w:rPr>
      </w:pPr>
    </w:p>
    <w:p w:rsidR="00550054" w:rsidRDefault="00DB6909">
      <w:pPr>
        <w:pStyle w:val="aa"/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sz w:val="24"/>
          <w:szCs w:val="24"/>
          <w:lang w:val="uz-Cyrl-UZ"/>
        </w:rPr>
        <w:t>3.TARAFLARNING MAJBURIYaTLARI</w:t>
      </w:r>
    </w:p>
    <w:p w:rsidR="00550054" w:rsidRDefault="00DB6909">
      <w:pPr>
        <w:ind w:left="284"/>
        <w:rPr>
          <w:bCs/>
          <w:lang w:val="uz-Cyrl-UZ"/>
        </w:rPr>
      </w:pPr>
      <w:r>
        <w:rPr>
          <w:bCs/>
          <w:lang w:val="uz-Cyrl-UZ"/>
        </w:rPr>
        <w:t>3.1.</w:t>
      </w:r>
      <w:r>
        <w:rPr>
          <w:b/>
          <w:bCs/>
          <w:lang w:val="uz-Cyrl-UZ"/>
        </w:rPr>
        <w:t xml:space="preserve"> «Sotuvchi»ning majburiyatlari</w:t>
      </w:r>
      <w:r>
        <w:rPr>
          <w:bCs/>
          <w:lang w:val="uz-Cyrl-UZ"/>
        </w:rPr>
        <w:t>: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bCs/>
          <w:lang w:val="uz-Cyrl-UZ"/>
        </w:rPr>
        <w:t xml:space="preserve">3.1.1. Tovar </w:t>
      </w:r>
      <w:r>
        <w:rPr>
          <w:i/>
          <w:lang w:val="uz-Cyrl-UZ"/>
        </w:rPr>
        <w:t>(maxsulot, ish, xizmat)</w:t>
      </w:r>
      <w:r>
        <w:rPr>
          <w:bCs/>
          <w:lang w:val="uz-Cyrl-UZ"/>
        </w:rPr>
        <w:t>ni shartnoma talablariga javob beradigan holat</w:t>
      </w:r>
      <w:r>
        <w:rPr>
          <w:bCs/>
          <w:lang w:val="uz-Cyrl-UZ"/>
        </w:rPr>
        <w:t xml:space="preserve">da Sotib oluvchiga shartnomaning 2.1-bandida nazarda tutilgan to‘lovning </w:t>
      </w:r>
      <w:r>
        <w:rPr>
          <w:b/>
          <w:bCs/>
          <w:u w:val="single"/>
          <w:lang w:val="uz-Cyrl-UZ"/>
        </w:rPr>
        <w:t>30 foizi</w:t>
      </w:r>
      <w:r>
        <w:rPr>
          <w:b/>
          <w:bCs/>
          <w:lang w:val="uz-Cyrl-UZ"/>
        </w:rPr>
        <w:t xml:space="preserve"> </w:t>
      </w:r>
      <w:r>
        <w:rPr>
          <w:bCs/>
          <w:lang w:val="uz-Cyrl-UZ"/>
        </w:rPr>
        <w:t>amalga oshirilgandan so‘ng 20 bank ish kunida «Sotib oluvchi» talabiga javob beradigan holda yetkazib berish.</w:t>
      </w:r>
      <w:r>
        <w:rPr>
          <w:lang w:val="uz-Cyrl-UZ"/>
        </w:rPr>
        <w:t xml:space="preserve"> 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 xml:space="preserve">3.1.2. Tovar </w:t>
      </w:r>
      <w:r>
        <w:rPr>
          <w:i/>
          <w:lang w:val="uz-Cyrl-UZ"/>
        </w:rPr>
        <w:t>(maxsulot, ish, xizmat)</w:t>
      </w:r>
      <w:r>
        <w:rPr>
          <w:lang w:val="uz-Cyrl-UZ"/>
        </w:rPr>
        <w:t>larning</w:t>
      </w:r>
      <w:r>
        <w:rPr>
          <w:b/>
          <w:bCs/>
          <w:lang w:val="uz-Cyrl-UZ"/>
        </w:rPr>
        <w:t xml:space="preserve"> s</w:t>
      </w:r>
      <w:r>
        <w:rPr>
          <w:lang w:val="uz-Cyrl-UZ"/>
        </w:rPr>
        <w:t>ifati ushbu guruxi</w:t>
      </w:r>
      <w:r>
        <w:rPr>
          <w:lang w:val="uz-Cyrl-UZ"/>
        </w:rPr>
        <w:t xml:space="preserve"> uchun amaldagi standartlarga muvofik kelishiga javob berish.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 xml:space="preserve">3.1.3. «Sotuvchi» to‘plamda yaroksiz, sifati lozim darajada bo‘lmagan tovarlar </w:t>
      </w:r>
      <w:r>
        <w:rPr>
          <w:i/>
          <w:lang w:val="uz-Cyrl-UZ"/>
        </w:rPr>
        <w:t>(maxsulot, ish, xizmat)</w:t>
      </w:r>
      <w:r>
        <w:rPr>
          <w:lang w:val="uz-Cyrl-UZ"/>
        </w:rPr>
        <w:t xml:space="preserve"> mavjudligi   xakida  xabar olgan paytdan boshlab </w:t>
      </w:r>
      <w:r>
        <w:rPr>
          <w:b/>
          <w:u w:val="single"/>
          <w:lang w:val="uz-Cyrl-UZ"/>
        </w:rPr>
        <w:t>3 (uch)</w:t>
      </w:r>
      <w:r>
        <w:rPr>
          <w:lang w:val="uz-Cyrl-UZ"/>
        </w:rPr>
        <w:t xml:space="preserve"> kun ichida  sifatsiz  tovar </w:t>
      </w:r>
      <w:r>
        <w:rPr>
          <w:i/>
          <w:lang w:val="uz-Cyrl-UZ"/>
        </w:rPr>
        <w:t>(maxsu</w:t>
      </w:r>
      <w:r>
        <w:rPr>
          <w:i/>
          <w:lang w:val="uz-Cyrl-UZ"/>
        </w:rPr>
        <w:t>lot, ish, xizmat)</w:t>
      </w:r>
      <w:r>
        <w:rPr>
          <w:lang w:val="uz-Cyrl-UZ"/>
        </w:rPr>
        <w:t>ni sifatlisiga almashtirish yoki ushbu shartnomaning 1.1.-bandidagi jadvalga muvofiq sifati lozim darajada bo‘lmagan tovarning pulini to‘liq qaytarib beradi.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>3.1.4. «Sotuvchi»  O‘zbekiston  Respublikasining   amaldagi   qonunchiligiga muvo</w:t>
      </w:r>
      <w:r>
        <w:rPr>
          <w:lang w:val="uz-Cyrl-UZ"/>
        </w:rPr>
        <w:t xml:space="preserve">fiq  tovar </w:t>
      </w:r>
      <w:r>
        <w:rPr>
          <w:i/>
          <w:lang w:val="uz-Cyrl-UZ"/>
        </w:rPr>
        <w:t>(maxsulot, ish, xizmat)</w:t>
      </w:r>
      <w:r>
        <w:rPr>
          <w:lang w:val="uz-Cyrl-UZ"/>
        </w:rPr>
        <w:t xml:space="preserve">ga  bo‘lgan  kafolat muddatlarini taqdim etadi. 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>3.2. “</w:t>
      </w:r>
      <w:r>
        <w:rPr>
          <w:b/>
          <w:lang w:val="uz-Cyrl-UZ"/>
        </w:rPr>
        <w:t>Sotib oluvchi”ning majburiyatlari:</w:t>
      </w:r>
      <w:r>
        <w:rPr>
          <w:lang w:val="uz-Cyrl-UZ"/>
        </w:rPr>
        <w:t xml:space="preserve"> 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>3.2.1. Qabul qilish dalolatnomasini rasmiylashtirgan holda ushbu shartnoma va qonun hujjatlarida belgilangan tartibda va muddatda t</w:t>
      </w:r>
      <w:r>
        <w:rPr>
          <w:lang w:val="uz-Cyrl-UZ"/>
        </w:rPr>
        <w:t>ovarni miqdori, sifati va butlanishi bo‘yicha qabul qilib oladi.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 xml:space="preserve">3.2.2. Sifati lozim darajada bo‘lmagan tovar </w:t>
      </w:r>
      <w:r>
        <w:rPr>
          <w:i/>
          <w:lang w:val="uz-Cyrl-UZ"/>
        </w:rPr>
        <w:t>(maxsulot, ish, xizmat)</w:t>
      </w:r>
      <w:r>
        <w:rPr>
          <w:lang w:val="uz-Cyrl-UZ"/>
        </w:rPr>
        <w:t xml:space="preserve"> keltirilganligi aniqlangan taqdirda, ushbu tovarning sifati lozim darajada emasligi haqida dalolatnoma rasmiylashtirilgan </w:t>
      </w:r>
      <w:r>
        <w:rPr>
          <w:lang w:val="uz-Cyrl-UZ"/>
        </w:rPr>
        <w:t>paytdan boshlab 3 (uch) kun ichida «Sotuvchi»ni xabardor qiladi.</w:t>
      </w:r>
    </w:p>
    <w:p w:rsidR="00550054" w:rsidRDefault="00DB6909">
      <w:pPr>
        <w:ind w:left="284"/>
        <w:jc w:val="both"/>
        <w:rPr>
          <w:b/>
          <w:bCs/>
          <w:lang w:val="uz-Cyrl-UZ"/>
        </w:rPr>
      </w:pPr>
      <w:r>
        <w:rPr>
          <w:lang w:val="uz-Cyrl-UZ"/>
        </w:rPr>
        <w:t>3.2.3. Shartnomada belgilangan miqdorda, tartibda va muddatda tovar haqini to‘lash.</w:t>
      </w:r>
    </w:p>
    <w:p w:rsidR="00550054" w:rsidRDefault="00DB6909">
      <w:pPr>
        <w:ind w:left="284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4. SHARTNOMAGA O‘ZGARTIRISH VA QO‘ShIMChALAR KIRITISH</w:t>
      </w:r>
    </w:p>
    <w:p w:rsidR="00550054" w:rsidRDefault="00DB6909">
      <w:pPr>
        <w:ind w:left="284"/>
        <w:jc w:val="both"/>
        <w:rPr>
          <w:color w:val="000000"/>
          <w:lang w:val="uz-Cyrl-UZ"/>
        </w:rPr>
      </w:pPr>
      <w:r>
        <w:rPr>
          <w:lang w:val="uz-Cyrl-UZ"/>
        </w:rPr>
        <w:t>4.1 Shartnoma shartlariga qo‘shimcha va o‘zgartirishl</w:t>
      </w:r>
      <w:r>
        <w:rPr>
          <w:lang w:val="uz-Cyrl-UZ"/>
        </w:rPr>
        <w:t xml:space="preserve">ar </w:t>
      </w:r>
      <w:r>
        <w:rPr>
          <w:color w:val="000000"/>
          <w:lang w:val="uz-Cyrl-UZ"/>
        </w:rPr>
        <w:t xml:space="preserve">vakolatli vakillar imzolashi orqali kiritiladi va </w:t>
      </w:r>
      <w:r>
        <w:rPr>
          <w:lang w:val="uz-Cyrl-UZ"/>
        </w:rPr>
        <w:t>uning ajralmas qismi bo‘lib hisoblanadi, ular albatta inobatga olinishi zarur.</w:t>
      </w:r>
      <w:r>
        <w:rPr>
          <w:color w:val="000000"/>
          <w:lang w:val="uz-Cyrl-UZ"/>
        </w:rPr>
        <w:t xml:space="preserve"> </w:t>
      </w:r>
    </w:p>
    <w:p w:rsidR="00550054" w:rsidRDefault="00DB6909">
      <w:pPr>
        <w:ind w:left="284"/>
        <w:jc w:val="both"/>
        <w:rPr>
          <w:b/>
          <w:lang w:val="uz-Cyrl-UZ"/>
        </w:rPr>
      </w:pPr>
      <w:r>
        <w:rPr>
          <w:lang w:val="uz-Cyrl-UZ"/>
        </w:rPr>
        <w:lastRenderedPageBreak/>
        <w:t>4.2. Shartnoma amaldagi qonunchilik o‘zgarganda, O‘zbekiston Respublikasining qonunchilik hujjatlarida belgilab berilgan bo</w:t>
      </w:r>
      <w:r>
        <w:rPr>
          <w:lang w:val="uz-Cyrl-UZ"/>
        </w:rPr>
        <w:t>shqa hollarda qayta tuzilishi yoki o‘zgartirilishi mumkin. Shartnomani bajarishdan bir taraflama bosh tortishga yoki shartnomaning shartlarini bir taraflama o‘zgartirishga yo‘l qo‘yilmaydi, qonun hujjatlarida yoki shartnomada nazarda tutilgan hollar bundan</w:t>
      </w:r>
      <w:r>
        <w:rPr>
          <w:lang w:val="uz-Cyrl-UZ"/>
        </w:rPr>
        <w:t xml:space="preserve"> mustasno.                          </w:t>
      </w:r>
      <w:r>
        <w:rPr>
          <w:b/>
          <w:lang w:val="uz-Cyrl-UZ"/>
        </w:rPr>
        <w:t xml:space="preserve">                    </w:t>
      </w:r>
    </w:p>
    <w:p w:rsidR="00550054" w:rsidRDefault="00DB6909">
      <w:pPr>
        <w:ind w:left="284"/>
        <w:jc w:val="center"/>
        <w:rPr>
          <w:b/>
          <w:lang w:val="uz-Cyrl-UZ"/>
        </w:rPr>
      </w:pPr>
      <w:r>
        <w:rPr>
          <w:b/>
          <w:lang w:val="uz-Cyrl-UZ"/>
        </w:rPr>
        <w:t>5. TARAFLARNING  JAVOBGARLIGI</w:t>
      </w:r>
    </w:p>
    <w:p w:rsidR="00550054" w:rsidRDefault="00DB6909">
      <w:pPr>
        <w:pStyle w:val="aa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Style w:val="FontStyle11"/>
          <w:sz w:val="24"/>
          <w:szCs w:val="24"/>
          <w:lang w:val="uz-Cyrl-UZ"/>
        </w:rPr>
        <w:t xml:space="preserve">5.1.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«Sotuvchi» shartnomada belgilangan majburiyatlarini to‘liq bajarmagan taqdirda «Sotib oluvchi» shartnoma doirasida o‘tkazib bergan barcha pul mablag‘larni qaytarish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ni talab qilish huquqiga ega. Shunday holatda «Sotuvchi» sotib oluvchining talabi kelib tushgandan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z-Cyrl-UZ" w:eastAsia="ru-RU"/>
        </w:rPr>
        <w:t>10 (o‘n)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kun ichida mazkur pul mablag‘larini qaytarib beradi.</w:t>
      </w:r>
    </w:p>
    <w:p w:rsidR="00550054" w:rsidRDefault="00DB6909">
      <w:pPr>
        <w:pStyle w:val="Style9"/>
        <w:widowControl/>
        <w:tabs>
          <w:tab w:val="left" w:pos="317"/>
        </w:tabs>
        <w:spacing w:line="240" w:lineRule="auto"/>
        <w:ind w:left="284" w:firstLine="0"/>
        <w:rPr>
          <w:rStyle w:val="FontStyle11"/>
          <w:sz w:val="24"/>
          <w:szCs w:val="24"/>
          <w:lang w:val="uz-Cyrl-UZ" w:eastAsia="uz-Cyrl-UZ"/>
        </w:rPr>
      </w:pPr>
      <w:r>
        <w:rPr>
          <w:rStyle w:val="FontStyle11"/>
          <w:sz w:val="24"/>
          <w:szCs w:val="24"/>
          <w:lang w:val="uz-Cyrl-UZ"/>
        </w:rPr>
        <w:t xml:space="preserve">5.2. Tovarni to‘liq topshirmaganlik uchun «Sotuvchi» har bir kechiktirilgan kuniga topshirilmagan tovar qiymatining </w:t>
      </w:r>
      <w:r>
        <w:rPr>
          <w:rStyle w:val="FontStyle11"/>
          <w:b/>
          <w:sz w:val="24"/>
          <w:szCs w:val="24"/>
          <w:u w:val="single"/>
          <w:lang w:val="uz-Cyrl-UZ"/>
        </w:rPr>
        <w:t>0,5 %</w:t>
      </w:r>
      <w:r>
        <w:rPr>
          <w:rStyle w:val="FontStyle11"/>
          <w:sz w:val="24"/>
          <w:szCs w:val="24"/>
          <w:lang w:val="uz-Cyrl-UZ"/>
        </w:rPr>
        <w:t xml:space="preserve"> </w:t>
      </w:r>
      <w:r>
        <w:rPr>
          <w:rStyle w:val="FontStyle11"/>
          <w:sz w:val="24"/>
          <w:szCs w:val="24"/>
          <w:lang w:val="uz-Cyrl-UZ" w:eastAsia="uz-Cyrl-UZ"/>
        </w:rPr>
        <w:t>miqdorida, tez buziladigan tovarlar buyicha esa-</w:t>
      </w:r>
      <w:r>
        <w:rPr>
          <w:rStyle w:val="FontStyle11"/>
          <w:b/>
          <w:sz w:val="24"/>
          <w:szCs w:val="24"/>
          <w:u w:val="single"/>
          <w:lang w:val="uz-Cyrl-UZ" w:eastAsia="uz-Cyrl-UZ"/>
        </w:rPr>
        <w:t>10 %</w:t>
      </w:r>
      <w:r>
        <w:rPr>
          <w:rStyle w:val="FontStyle11"/>
          <w:sz w:val="24"/>
          <w:szCs w:val="24"/>
          <w:lang w:val="uz-Cyrl-UZ" w:eastAsia="uz-Cyrl-UZ"/>
        </w:rPr>
        <w:t xml:space="preserve"> mikdorida jarima to‘laydi.</w:t>
      </w:r>
    </w:p>
    <w:p w:rsidR="00550054" w:rsidRDefault="00DB6909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left="284" w:firstLine="0"/>
        <w:rPr>
          <w:rStyle w:val="FontStyle11"/>
          <w:sz w:val="24"/>
          <w:szCs w:val="24"/>
          <w:lang w:val="uz-Cyrl-UZ"/>
        </w:rPr>
      </w:pPr>
      <w:r>
        <w:rPr>
          <w:rStyle w:val="FontStyle11"/>
          <w:sz w:val="24"/>
          <w:szCs w:val="24"/>
          <w:lang w:val="uz-Cyrl-UZ"/>
        </w:rPr>
        <w:t xml:space="preserve">5.3. Agar yetkazib berilgan tovarlar sifati, assortimenti va navi lozim darajada bo‘lmagan tovarlar kiymatining, shuningdek butlanmagan tovarni topshirganlik uchun aybdor taraf tovar qiymatining </w:t>
      </w:r>
      <w:r>
        <w:rPr>
          <w:rStyle w:val="FontStyle11"/>
          <w:b/>
          <w:sz w:val="24"/>
          <w:szCs w:val="24"/>
          <w:u w:val="single"/>
          <w:lang w:val="uz-Cyrl-UZ"/>
        </w:rPr>
        <w:t>20%</w:t>
      </w:r>
      <w:r>
        <w:rPr>
          <w:rStyle w:val="FontStyle11"/>
          <w:sz w:val="24"/>
          <w:szCs w:val="24"/>
          <w:lang w:val="uz-Cyrl-UZ"/>
        </w:rPr>
        <w:t xml:space="preserve"> miqdorida jarima to‘laydi.</w:t>
      </w:r>
    </w:p>
    <w:p w:rsidR="00550054" w:rsidRDefault="00DB6909">
      <w:pPr>
        <w:pStyle w:val="Style9"/>
        <w:widowControl/>
        <w:tabs>
          <w:tab w:val="left" w:pos="317"/>
        </w:tabs>
        <w:spacing w:line="240" w:lineRule="auto"/>
        <w:ind w:left="284" w:firstLine="0"/>
        <w:rPr>
          <w:rStyle w:val="FontStyle11"/>
          <w:sz w:val="24"/>
          <w:szCs w:val="24"/>
          <w:lang w:val="uz-Cyrl-UZ"/>
        </w:rPr>
      </w:pPr>
      <w:r>
        <w:rPr>
          <w:rStyle w:val="FontStyle11"/>
          <w:sz w:val="24"/>
          <w:szCs w:val="24"/>
          <w:lang w:val="uz-Cyrl-UZ"/>
        </w:rPr>
        <w:t>5.4. Tovar hakini o‘z vaktida,</w:t>
      </w:r>
      <w:r>
        <w:rPr>
          <w:rStyle w:val="FontStyle11"/>
          <w:sz w:val="24"/>
          <w:szCs w:val="24"/>
          <w:lang w:val="uz-Cyrl-UZ"/>
        </w:rPr>
        <w:t xml:space="preserve"> to‘liq kelishilgan tartibda to‘lamaganlik uchun «Sotib oluvchi» </w:t>
      </w:r>
      <w:r>
        <w:rPr>
          <w:rStyle w:val="FontStyle11"/>
          <w:sz w:val="24"/>
          <w:szCs w:val="24"/>
          <w:lang w:val="uz-Cyrl-UZ" w:eastAsia="uz-Cyrl-UZ"/>
        </w:rPr>
        <w:t xml:space="preserve">har bir kechiktirilgan kuniga to‘lanmagan summaning </w:t>
      </w:r>
      <w:r>
        <w:rPr>
          <w:rStyle w:val="FontStyle11"/>
          <w:b/>
          <w:sz w:val="24"/>
          <w:szCs w:val="24"/>
          <w:u w:val="single"/>
          <w:lang w:val="uz-Cyrl-UZ" w:eastAsia="uz-Cyrl-UZ"/>
        </w:rPr>
        <w:t>0,4%</w:t>
      </w:r>
      <w:r>
        <w:rPr>
          <w:rStyle w:val="FontStyle11"/>
          <w:b/>
          <w:sz w:val="24"/>
          <w:szCs w:val="24"/>
          <w:lang w:val="uz-Cyrl-UZ" w:eastAsia="uz-Cyrl-UZ"/>
        </w:rPr>
        <w:t xml:space="preserve"> </w:t>
      </w:r>
      <w:r>
        <w:rPr>
          <w:rStyle w:val="FontStyle11"/>
          <w:sz w:val="24"/>
          <w:szCs w:val="24"/>
          <w:lang w:val="uz-Cyrl-UZ" w:eastAsia="uz-Cyrl-UZ"/>
        </w:rPr>
        <w:t xml:space="preserve">miqdorida, </w:t>
      </w:r>
      <w:r>
        <w:rPr>
          <w:rStyle w:val="FontStyle11"/>
          <w:sz w:val="24"/>
          <w:szCs w:val="24"/>
          <w:lang w:val="uz-Cyrl-UZ"/>
        </w:rPr>
        <w:t xml:space="preserve">lekin kechiktirilgan to‘lov summasining </w:t>
      </w:r>
      <w:r>
        <w:rPr>
          <w:rStyle w:val="FontStyle11"/>
          <w:b/>
          <w:sz w:val="24"/>
          <w:szCs w:val="24"/>
          <w:u w:val="single"/>
          <w:lang w:val="uz-Cyrl-UZ"/>
        </w:rPr>
        <w:t>50%</w:t>
      </w:r>
      <w:r>
        <w:rPr>
          <w:rStyle w:val="FontStyle11"/>
          <w:sz w:val="24"/>
          <w:szCs w:val="24"/>
          <w:lang w:val="uz-Cyrl-UZ"/>
        </w:rPr>
        <w:t xml:space="preserve"> dan ortik bo‘lmagan mikdorda penya (neustoyka) to‘laydi.</w:t>
      </w:r>
    </w:p>
    <w:p w:rsidR="00550054" w:rsidRDefault="00DB6909">
      <w:pPr>
        <w:pStyle w:val="Style9"/>
        <w:widowControl/>
        <w:tabs>
          <w:tab w:val="left" w:pos="768"/>
        </w:tabs>
        <w:spacing w:line="240" w:lineRule="auto"/>
        <w:ind w:left="284" w:firstLine="0"/>
        <w:rPr>
          <w:rStyle w:val="FontStyle11"/>
          <w:sz w:val="24"/>
          <w:szCs w:val="24"/>
          <w:lang w:val="uz-Cyrl-UZ"/>
        </w:rPr>
      </w:pPr>
      <w:r>
        <w:rPr>
          <w:rStyle w:val="FontStyle11"/>
          <w:sz w:val="24"/>
          <w:szCs w:val="24"/>
          <w:lang w:val="uz-Cyrl-UZ"/>
        </w:rPr>
        <w:t>5.5 Tovarlarni yetkazi</w:t>
      </w:r>
      <w:r>
        <w:rPr>
          <w:rStyle w:val="FontStyle11"/>
          <w:sz w:val="24"/>
          <w:szCs w:val="24"/>
          <w:lang w:val="uz-Cyrl-UZ"/>
        </w:rPr>
        <w:t>b berish muddatlari kechiktirilib yuborilgan xar bir kechiktirilgan kun uchun  majburiyat bajarilmagan kismining</w:t>
      </w:r>
      <w:r>
        <w:rPr>
          <w:rStyle w:val="FontStyle11"/>
          <w:b/>
          <w:sz w:val="24"/>
          <w:szCs w:val="24"/>
          <w:u w:val="single"/>
          <w:lang w:val="uz-Cyrl-UZ"/>
        </w:rPr>
        <w:t xml:space="preserve"> 0,5 %</w:t>
      </w:r>
      <w:r>
        <w:rPr>
          <w:rStyle w:val="FontStyle11"/>
          <w:sz w:val="24"/>
          <w:szCs w:val="24"/>
          <w:lang w:val="uz-Cyrl-UZ"/>
        </w:rPr>
        <w:t xml:space="preserve"> mikdorida penya tulaydi, birok bunda penyaning umumiy summasi yetkazib berilmagan tovarlar baxosining </w:t>
      </w:r>
      <w:r>
        <w:rPr>
          <w:rStyle w:val="FontStyle11"/>
          <w:b/>
          <w:sz w:val="24"/>
          <w:szCs w:val="24"/>
          <w:u w:val="single"/>
          <w:lang w:val="uz-Cyrl-UZ"/>
        </w:rPr>
        <w:t>50%</w:t>
      </w:r>
      <w:r>
        <w:rPr>
          <w:rStyle w:val="FontStyle11"/>
          <w:b/>
          <w:sz w:val="24"/>
          <w:szCs w:val="24"/>
          <w:lang w:val="uz-Cyrl-UZ"/>
        </w:rPr>
        <w:t xml:space="preserve"> </w:t>
      </w:r>
      <w:r>
        <w:rPr>
          <w:rStyle w:val="FontStyle11"/>
          <w:sz w:val="24"/>
          <w:szCs w:val="24"/>
          <w:lang w:val="uz-Cyrl-UZ"/>
        </w:rPr>
        <w:t>dan oshib ketmasligi lozim.</w:t>
      </w:r>
    </w:p>
    <w:p w:rsidR="00550054" w:rsidRDefault="00DB6909">
      <w:pPr>
        <w:pStyle w:val="Style9"/>
        <w:widowControl/>
        <w:tabs>
          <w:tab w:val="left" w:pos="768"/>
        </w:tabs>
        <w:spacing w:line="240" w:lineRule="auto"/>
        <w:ind w:left="284" w:firstLine="0"/>
        <w:rPr>
          <w:rStyle w:val="FontStyle11"/>
          <w:sz w:val="24"/>
          <w:szCs w:val="24"/>
          <w:lang w:val="uz-Cyrl-UZ"/>
        </w:rPr>
      </w:pPr>
      <w:r>
        <w:rPr>
          <w:rStyle w:val="FontStyle11"/>
          <w:sz w:val="24"/>
          <w:szCs w:val="24"/>
          <w:lang w:val="uz-Cyrl-UZ"/>
        </w:rPr>
        <w:t>5.6</w:t>
      </w:r>
      <w:r>
        <w:rPr>
          <w:rStyle w:val="FontStyle11"/>
          <w:sz w:val="24"/>
          <w:szCs w:val="24"/>
          <w:lang w:val="uz-Cyrl-UZ"/>
        </w:rPr>
        <w:t>. Neustoykani to‘lash taraflarni shartnoma bo‘yicha o‘z majburiyatlarini bajarishdan ozod kilmaydi.</w:t>
      </w:r>
    </w:p>
    <w:p w:rsidR="00550054" w:rsidRDefault="00DB6909">
      <w:pPr>
        <w:pStyle w:val="Style9"/>
        <w:widowControl/>
        <w:tabs>
          <w:tab w:val="left" w:pos="768"/>
        </w:tabs>
        <w:spacing w:line="240" w:lineRule="auto"/>
        <w:ind w:left="284" w:firstLine="0"/>
        <w:rPr>
          <w:rStyle w:val="FontStyle11"/>
          <w:sz w:val="24"/>
          <w:szCs w:val="24"/>
          <w:lang w:val="uz-Cyrl-UZ"/>
        </w:rPr>
      </w:pPr>
      <w:r>
        <w:rPr>
          <w:rStyle w:val="FontStyle11"/>
          <w:sz w:val="24"/>
          <w:szCs w:val="24"/>
          <w:lang w:val="uz-Cyrl-UZ"/>
        </w:rPr>
        <w:t>5.7. Nazorat organlari tomonidan o‘tkazilgan tekshirish davomida yetkazib berilgan tovar maxsulotlar narxi yukori deb topilgan takdirda o‘rtadagi fark (tafo</w:t>
      </w:r>
      <w:r>
        <w:rPr>
          <w:rStyle w:val="FontStyle11"/>
          <w:sz w:val="24"/>
          <w:szCs w:val="24"/>
          <w:lang w:val="uz-Cyrl-UZ"/>
        </w:rPr>
        <w:t xml:space="preserve">vvut) </w:t>
      </w:r>
      <w:r>
        <w:rPr>
          <w:rStyle w:val="FontStyle11"/>
          <w:b/>
          <w:sz w:val="24"/>
          <w:szCs w:val="24"/>
          <w:lang w:val="uz-Cyrl-UZ"/>
        </w:rPr>
        <w:t xml:space="preserve">«Sotuvchi» </w:t>
      </w:r>
      <w:r>
        <w:rPr>
          <w:rStyle w:val="FontStyle11"/>
          <w:sz w:val="24"/>
          <w:szCs w:val="24"/>
          <w:lang w:val="uz-Cyrl-UZ"/>
        </w:rPr>
        <w:t>tomonidan qoplab beriladi.</w:t>
      </w:r>
    </w:p>
    <w:p w:rsidR="00550054" w:rsidRDefault="00DB6909">
      <w:pPr>
        <w:pStyle w:val="Style9"/>
        <w:widowControl/>
        <w:tabs>
          <w:tab w:val="left" w:pos="768"/>
        </w:tabs>
        <w:spacing w:line="240" w:lineRule="auto"/>
        <w:ind w:left="284" w:firstLine="0"/>
        <w:rPr>
          <w:color w:val="000000"/>
          <w:lang w:val="uz-Cyrl-UZ"/>
        </w:rPr>
      </w:pPr>
      <w:r>
        <w:rPr>
          <w:rStyle w:val="FontStyle11"/>
          <w:sz w:val="24"/>
          <w:szCs w:val="24"/>
          <w:lang w:val="uz-Cyrl-UZ"/>
        </w:rPr>
        <w:t>5.8.</w:t>
      </w:r>
      <w:r>
        <w:rPr>
          <w:color w:val="000000"/>
          <w:lang w:val="uz-Cyrl-UZ"/>
        </w:rPr>
        <w:t xml:space="preserve"> “Sotuvchi”   “Sotib oluvchi”ning talabi kelib tushgandan </w:t>
      </w:r>
      <w:r>
        <w:rPr>
          <w:b/>
          <w:color w:val="000000"/>
          <w:lang w:val="uz-Cyrl-UZ"/>
        </w:rPr>
        <w:t>10 (o‘n)</w:t>
      </w:r>
      <w:r>
        <w:rPr>
          <w:color w:val="000000"/>
          <w:lang w:val="uz-Cyrl-UZ"/>
        </w:rPr>
        <w:t xml:space="preserve"> kun ichida yuqoridagi pul mablag‘lari </w:t>
      </w:r>
      <w:r>
        <w:rPr>
          <w:i/>
          <w:color w:val="000000"/>
          <w:lang w:val="uz-Cyrl-UZ"/>
        </w:rPr>
        <w:t>(penya, neustoyka,  jarima, aniqlangan narxlar o‘rtasidagi farqni)</w:t>
      </w:r>
      <w:r>
        <w:rPr>
          <w:color w:val="000000"/>
          <w:lang w:val="uz-Cyrl-UZ"/>
        </w:rPr>
        <w:t xml:space="preserve"> ni to‘lab beradi </w:t>
      </w:r>
    </w:p>
    <w:p w:rsidR="00550054" w:rsidRDefault="00550054">
      <w:pPr>
        <w:ind w:left="284"/>
        <w:jc w:val="center"/>
        <w:rPr>
          <w:b/>
          <w:bCs/>
          <w:lang w:val="uz-Cyrl-UZ"/>
        </w:rPr>
      </w:pPr>
    </w:p>
    <w:p w:rsidR="00550054" w:rsidRDefault="00DB6909">
      <w:pPr>
        <w:ind w:left="284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6. SHARTNOMANING </w:t>
      </w:r>
      <w:r>
        <w:rPr>
          <w:b/>
          <w:bCs/>
          <w:lang w:val="uz-Cyrl-UZ"/>
        </w:rPr>
        <w:t>AMAL QILISH MUDDATI</w:t>
      </w:r>
    </w:p>
    <w:p w:rsidR="00550054" w:rsidRDefault="00DB6909">
      <w:pPr>
        <w:pStyle w:val="aa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6.1.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Shartnoma Taraflar uni imzolagan kundan boshlab </w:t>
      </w:r>
      <w:r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2022 yil “31” dekabr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kuniga qadar amal qiladi.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>6.2. Mazkur shartnoma ikki nusxada tuzilib, bir xil yuridik kuchga ega hisoblanadi va tomonlarning har biri uchun bir nusxadan beriladi.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>6.3. Shartnoma muddatidan oldin quyidagi hollarda bekor qilinishi mumkin: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>- Tomonlarning o‘zaro kelishuviga muvofiq;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>- O‘zbekiston Respublikasining amaldagi shartnomaviy-huquqiy munosabatlarni tartibga soluvchi amaldagi qonunchilik hujjatlarida nazarda tu</w:t>
      </w:r>
      <w:r>
        <w:rPr>
          <w:lang w:val="uz-Cyrl-UZ"/>
        </w:rPr>
        <w:t>tilgan hollarda;</w:t>
      </w:r>
    </w:p>
    <w:p w:rsidR="00550054" w:rsidRDefault="00DB6909">
      <w:pPr>
        <w:tabs>
          <w:tab w:val="left" w:pos="708"/>
          <w:tab w:val="left" w:pos="1416"/>
          <w:tab w:val="left" w:pos="2124"/>
          <w:tab w:val="left" w:pos="2832"/>
          <w:tab w:val="left" w:pos="3561"/>
        </w:tabs>
        <w:ind w:left="284"/>
        <w:jc w:val="both"/>
        <w:rPr>
          <w:b/>
          <w:bCs/>
          <w:lang w:val="uz-Cyrl-UZ"/>
        </w:rPr>
      </w:pPr>
      <w:r>
        <w:rPr>
          <w:lang w:val="uz-Cyrl-UZ"/>
        </w:rPr>
        <w:t>- Fors-Major xolatlarida</w:t>
      </w:r>
      <w:r>
        <w:rPr>
          <w:b/>
          <w:bCs/>
          <w:lang w:val="uz-Cyrl-UZ"/>
        </w:rPr>
        <w:tab/>
      </w:r>
    </w:p>
    <w:p w:rsidR="00550054" w:rsidRDefault="00DB6909">
      <w:pPr>
        <w:tabs>
          <w:tab w:val="left" w:pos="708"/>
          <w:tab w:val="left" w:pos="1416"/>
          <w:tab w:val="left" w:pos="2124"/>
          <w:tab w:val="left" w:pos="2832"/>
          <w:tab w:val="left" w:pos="3561"/>
        </w:tabs>
        <w:ind w:left="284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7. NIZOLARNI HAL QILISh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>7.1. Taraflar shartnomada ko‘rsatilgan majburiyat va shartlarni bajarmagan taqdirlarida O‘zbekiston Respublikasi Fuqarolik kodeksi va “Xo‘jalik yurituvchi sub’ektlar faoliyatining shartnomaviy-huquqiy bazasi to‘g‘risida”gi qonuni hamda boshqa qonun hujjatl</w:t>
      </w:r>
      <w:r>
        <w:rPr>
          <w:lang w:val="uz-Cyrl-UZ"/>
        </w:rPr>
        <w:t xml:space="preserve">ari asosida javobgar bo‘ladilar.  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>7.2. Taraflar o‘rtasida kelib chiqadigan nizolar o‘zaro ikki tomonlama kelishuv va muzokaralar asosida, agar taraflar kelishuvga erisha olmasalar shartnoma doirasida yuzaga kelgan nizolar O‘zbekiston Respublikasi  “Xo‘jal</w:t>
      </w:r>
      <w:r>
        <w:rPr>
          <w:lang w:val="uz-Cyrl-UZ"/>
        </w:rPr>
        <w:t>ik yurituvchi sub’ektlar faoliyatining shartnomaviy-huquqiy bazasi to‘g‘risida”gi Qonuni va Fuqarolik kodeksiga asosan Sud tartibida hal qilinadi</w:t>
      </w:r>
    </w:p>
    <w:p w:rsidR="00550054" w:rsidRDefault="00DB6909">
      <w:pPr>
        <w:ind w:left="284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                                                                  </w:t>
      </w:r>
    </w:p>
    <w:p w:rsidR="00550054" w:rsidRDefault="00DB6909">
      <w:pPr>
        <w:ind w:left="284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8.FORS – MAJOR</w:t>
      </w:r>
    </w:p>
    <w:p w:rsidR="00550054" w:rsidRDefault="00DB6909">
      <w:pPr>
        <w:tabs>
          <w:tab w:val="left" w:pos="375"/>
        </w:tabs>
        <w:ind w:left="284"/>
        <w:jc w:val="both"/>
        <w:rPr>
          <w:bCs/>
          <w:lang w:val="uz-Cyrl-UZ"/>
        </w:rPr>
      </w:pPr>
      <w:r>
        <w:rPr>
          <w:bCs/>
          <w:lang w:val="uz-Cyrl-UZ"/>
        </w:rPr>
        <w:t>8.1. Taraflardan biri shartn</w:t>
      </w:r>
      <w:r>
        <w:rPr>
          <w:bCs/>
          <w:lang w:val="uz-Cyrl-UZ"/>
        </w:rPr>
        <w:t>omaning yengib bo‘lmaydigan kuch, ya’ni favqulotda muayyan sharoitida oldini olib bo‘lmaydigan vaziyatlar (tabiiy ofatlar, noqulay ob-xavo sharoiti, xukumat tadbirlari, xokimiyat organlarining qarorlari, xarbiy nizolari, ichki tartibbuzarliklar va boshqa t</w:t>
      </w:r>
      <w:r>
        <w:rPr>
          <w:bCs/>
          <w:lang w:val="uz-Cyrl-UZ"/>
        </w:rPr>
        <w:t>abiiy ofatlar) fors-major tufayli bajirilmagan yoki lozim darajada bajarilmaganligi isbotlansa javobgar bo‘lmaydi.</w:t>
      </w:r>
    </w:p>
    <w:p w:rsidR="00550054" w:rsidRDefault="00DB6909">
      <w:pPr>
        <w:pStyle w:val="aa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8.2. Fors-major holatlari yuzaga kelganligi to‘g‘risida taraflar bir-birini ushbu vaziyat yuzaga kelganligi ma’lum bo‘lgan kundan boshlab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z-Cyrl-UZ" w:eastAsia="ru-RU"/>
        </w:rPr>
        <w:t>5 (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uz-Cyrl-UZ" w:eastAsia="ru-RU"/>
        </w:rPr>
        <w:t>besh)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 kun ichida ogohlantirishlari lozim.</w:t>
      </w:r>
    </w:p>
    <w:p w:rsidR="00550054" w:rsidRDefault="00DB6909">
      <w:pPr>
        <w:pStyle w:val="aa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>8.3. Fors-major holatlari yuzaga kelgan vaziyatda, majburiyatlarni bajarish muddatlari ushbu vaziyatlar va ularning oqibatlari bartaraf etilgunga qadar uzaytiriladi.</w:t>
      </w:r>
    </w:p>
    <w:p w:rsidR="00550054" w:rsidRDefault="00DB6909">
      <w:pPr>
        <w:ind w:left="284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                                                </w:t>
      </w:r>
      <w:r>
        <w:rPr>
          <w:b/>
          <w:bCs/>
          <w:lang w:val="uz-Cyrl-UZ"/>
        </w:rPr>
        <w:t xml:space="preserve">    </w:t>
      </w:r>
    </w:p>
    <w:p w:rsidR="00550054" w:rsidRDefault="00DB6909">
      <w:pPr>
        <w:ind w:left="284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9. ALOHIDA ShARTLAR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 xml:space="preserve">9.1. Mazkur   Shartnomaga    kiritiladigan    barcha    o‘zgartirish   va qo‘shimchalar   yozma   shaklda  tuzilishi  va shartnoma dastlab qanday shaklda tuzilgan bo‘lsa, taraflar uni o‘zgartirish yoki bekor qilish </w:t>
      </w:r>
      <w:r>
        <w:rPr>
          <w:lang w:val="uz-Cyrl-UZ"/>
        </w:rPr>
        <w:lastRenderedPageBreak/>
        <w:t>to‘g‘risidagi kelishuvi ham shunday shakl</w:t>
      </w:r>
      <w:r>
        <w:rPr>
          <w:lang w:val="uz-Cyrl-UZ"/>
        </w:rPr>
        <w:t xml:space="preserve">da amalga oshiriladi va taraflar tomonidan imzolanishi kerak. Shuningdek shartnoma summasini o‘zgarishiga sabab bo‘lgan asoslar (hujjatlar) tovar yetkazib beruvchi tomonidan asolantirilgan holda yozma ravishda taqdim etiladi. 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 xml:space="preserve">9.2 Shartnomani taraflarning </w:t>
      </w:r>
      <w:r>
        <w:rPr>
          <w:lang w:val="uz-Cyrl-UZ"/>
        </w:rPr>
        <w:t>o‘zaro kelishuviga asosan yoki O‘zbekiston Respublikasi Fukarolik kodeksiga xamda amaldagi konun xujjatlari normalariga binoan keltirilgan zararni to‘lagan xolda muddatidan ilgari bekor kilinishi mumkin.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>9.3 Ushbu shartnoma imzolangandan to 2022 yil «31» d</w:t>
      </w:r>
      <w:r>
        <w:rPr>
          <w:lang w:val="uz-Cyrl-UZ"/>
        </w:rPr>
        <w:t xml:space="preserve">ekabr kunigacha 2 nusxada tuzildi.  Shartnoma taraflar tomonidan imzolanib, </w:t>
      </w:r>
      <w:bookmarkStart w:id="0" w:name="_GoBack"/>
      <w:bookmarkEnd w:id="0"/>
      <w:r>
        <w:rPr>
          <w:lang w:val="uz-Cyrl-UZ"/>
        </w:rPr>
        <w:t xml:space="preserve"> viloyat G‘aznachilik boshkarmasida belgilangan tartibda ro‘yxatdan o‘tkazilgandan so‘ng qonuniy kuchga kiradi. 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>9.4. “Isteʼmolchi” “Etkazib beruvchi”ga mazkur shartnoma d</w:t>
      </w:r>
      <w:r>
        <w:rPr>
          <w:lang w:val="uz-Cyrl-UZ"/>
        </w:rPr>
        <w:t>oirasida qoʼyidagilarni kafolatlaydi va qoʼyidagi majburiyatlarni xam oʼz zimmasiga oladi: Shartnomaning amal qilish muddati davomida u (shuningdek, uning xodimlari, direktorlari, agentlari va boshqa vakillari), isteʼmolchi manfaatlari uchun agent yoki vak</w:t>
      </w:r>
      <w:r>
        <w:rPr>
          <w:lang w:val="uz-Cyrl-UZ"/>
        </w:rPr>
        <w:t>il sifatida harakat qilib, “Etkazib beruvchi”ning korruptsiyaga qarshi amaldagi talablariga va Oʼzbekistan Respublikasiiing barcha qonun va qoidalariga qatʼiy rioya qiladi.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>9.5. Ushbu shartnomaning har bir taraflari bir-biriga nisbatan amaldagi korruptsiya</w:t>
      </w:r>
      <w:r>
        <w:rPr>
          <w:lang w:val="uz-Cyrl-UZ"/>
        </w:rPr>
        <w:t>ga qarshi kurash talablari, shu jumladan, bu bilan cheklanib qolmasdan, barcha amaldagi konun va qoidalarga oid shartlarni va talablarni tadbiq etilishini ifodalaydi va kafolatlaydi</w:t>
      </w:r>
    </w:p>
    <w:p w:rsidR="00550054" w:rsidRDefault="00DB6909">
      <w:pPr>
        <w:ind w:left="284"/>
        <w:jc w:val="both"/>
        <w:rPr>
          <w:lang w:val="uz-Cyrl-UZ"/>
        </w:rPr>
      </w:pPr>
      <w:r>
        <w:rPr>
          <w:lang w:val="uz-Cyrl-UZ"/>
        </w:rPr>
        <w:t>9.6. Tomonlar, ularning affilangan (o‘zaro bog‘langan) shaxslari va xodiml</w:t>
      </w:r>
      <w:r>
        <w:rPr>
          <w:lang w:val="uz-Cyrl-UZ"/>
        </w:rPr>
        <w:t>ari, ushbu Shartnoma bo‘yicha o‘z majburiyatlarini bajarishlari davomida korrupsiyaga qarshi kurashish sohasidagi O‘zbekiston Respublikasining amaldagi qonun hujjatlari talablarining buzilishiga olib keladigan va/yoki korrupsiya xarakteriga ega bo‘lgan, sh</w:t>
      </w:r>
      <w:r>
        <w:rPr>
          <w:lang w:val="uz-Cyrl-UZ"/>
        </w:rPr>
        <w:t>u jumladan (ammo bu bilan cheklanmay) pora berish yoki berishni va’da qilish, ta’magirlik, pora olishga bevosita yoki bilvosita rozi bo‘lish xattiharakatlari/harakatsizliklarini sodir etmaydilar</w:t>
      </w:r>
    </w:p>
    <w:p w:rsidR="00550054" w:rsidRDefault="00DB6909">
      <w:pPr>
        <w:tabs>
          <w:tab w:val="left" w:pos="1110"/>
          <w:tab w:val="center" w:pos="5269"/>
        </w:tabs>
        <w:ind w:left="284"/>
        <w:jc w:val="center"/>
        <w:rPr>
          <w:b/>
          <w:bCs/>
          <w:lang w:val="uz-Cyrl-UZ"/>
        </w:rPr>
      </w:pPr>
      <w:r>
        <w:rPr>
          <w:b/>
          <w:bCs/>
          <w:lang w:val="en-US"/>
        </w:rPr>
        <w:t>10. TOMONLARNING YURIDIK MANZILLARI VA BANK REKVIZITLARI</w:t>
      </w:r>
    </w:p>
    <w:p w:rsidR="00550054" w:rsidRDefault="00DB6909">
      <w:pPr>
        <w:ind w:left="284"/>
        <w:rPr>
          <w:b/>
          <w:lang w:val="uz-Cyrl-UZ"/>
        </w:rPr>
      </w:pPr>
      <w:r>
        <w:rPr>
          <w:b/>
          <w:lang w:val="en-US"/>
        </w:rPr>
        <w:t xml:space="preserve">    </w:t>
      </w:r>
      <w:r>
        <w:rPr>
          <w:b/>
          <w:lang w:val="en-US"/>
        </w:rPr>
        <w:t xml:space="preserve">                       </w:t>
      </w:r>
      <w:r>
        <w:rPr>
          <w:b/>
        </w:rPr>
        <w:t>«</w:t>
      </w:r>
      <w:proofErr w:type="spellStart"/>
      <w:proofErr w:type="gramStart"/>
      <w:r>
        <w:rPr>
          <w:b/>
        </w:rPr>
        <w:t>Ta’minotchi</w:t>
      </w:r>
      <w:proofErr w:type="spellEnd"/>
      <w:r>
        <w:rPr>
          <w:b/>
        </w:rPr>
        <w:t>»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                                      </w:t>
      </w:r>
      <w:r>
        <w:rPr>
          <w:b/>
          <w:bCs/>
          <w:lang w:val="uz-Cyrl-UZ"/>
        </w:rPr>
        <w:t xml:space="preserve">            </w:t>
      </w:r>
      <w:r>
        <w:rPr>
          <w:b/>
          <w:bCs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Iste’molchi</w:t>
      </w:r>
      <w:proofErr w:type="spellEnd"/>
      <w:r>
        <w:rPr>
          <w:b/>
        </w:rPr>
        <w:t>»</w:t>
      </w:r>
    </w:p>
    <w:p w:rsidR="00550054" w:rsidRDefault="00550054">
      <w:pPr>
        <w:ind w:left="284"/>
        <w:rPr>
          <w:b/>
          <w:lang w:val="uz-Cyrl-UZ"/>
        </w:rPr>
      </w:pPr>
    </w:p>
    <w:tbl>
      <w:tblPr>
        <w:tblW w:w="9728" w:type="dxa"/>
        <w:jc w:val="center"/>
        <w:tblLook w:val="01E0" w:firstRow="1" w:lastRow="1" w:firstColumn="1" w:lastColumn="1" w:noHBand="0" w:noVBand="0"/>
      </w:tblPr>
      <w:tblGrid>
        <w:gridCol w:w="4744"/>
        <w:gridCol w:w="234"/>
        <w:gridCol w:w="4750"/>
      </w:tblGrid>
      <w:tr w:rsidR="00550054" w:rsidRPr="00DB6909">
        <w:trPr>
          <w:trHeight w:val="212"/>
          <w:jc w:val="center"/>
        </w:trPr>
        <w:tc>
          <w:tcPr>
            <w:tcW w:w="4744" w:type="dxa"/>
            <w:tcBorders>
              <w:bottom w:val="single" w:sz="4" w:space="0" w:color="000000"/>
            </w:tcBorders>
            <w:shd w:val="clear" w:color="auto" w:fill="auto"/>
          </w:tcPr>
          <w:p w:rsidR="00550054" w:rsidRDefault="00550054">
            <w:pPr>
              <w:ind w:left="284"/>
              <w:jc w:val="center"/>
              <w:rPr>
                <w:b/>
                <w:lang w:val="uz-Cyrl-UZ"/>
              </w:rPr>
            </w:pPr>
          </w:p>
        </w:tc>
        <w:tc>
          <w:tcPr>
            <w:tcW w:w="234" w:type="dxa"/>
            <w:shd w:val="clear" w:color="auto" w:fill="auto"/>
          </w:tcPr>
          <w:p w:rsidR="00550054" w:rsidRDefault="00550054">
            <w:pPr>
              <w:ind w:left="284"/>
              <w:jc w:val="both"/>
              <w:rPr>
                <w:lang w:val="uz-Cyrl-UZ"/>
              </w:rPr>
            </w:pPr>
          </w:p>
        </w:tc>
        <w:tc>
          <w:tcPr>
            <w:tcW w:w="4750" w:type="dxa"/>
            <w:tcBorders>
              <w:bottom w:val="single" w:sz="4" w:space="0" w:color="000000"/>
            </w:tcBorders>
            <w:shd w:val="clear" w:color="auto" w:fill="auto"/>
          </w:tcPr>
          <w:p w:rsidR="00550054" w:rsidRPr="00DB6909" w:rsidRDefault="00550054">
            <w:pPr>
              <w:ind w:left="284"/>
              <w:jc w:val="center"/>
              <w:rPr>
                <w:lang w:val="en-US"/>
              </w:rPr>
            </w:pPr>
          </w:p>
        </w:tc>
      </w:tr>
      <w:tr w:rsidR="00550054">
        <w:trPr>
          <w:trHeight w:val="199"/>
          <w:jc w:val="center"/>
        </w:trPr>
        <w:tc>
          <w:tcPr>
            <w:tcW w:w="4744" w:type="dxa"/>
            <w:tcBorders>
              <w:top w:val="single" w:sz="4" w:space="0" w:color="000000"/>
            </w:tcBorders>
            <w:shd w:val="clear" w:color="auto" w:fill="auto"/>
          </w:tcPr>
          <w:p w:rsidR="00550054" w:rsidRDefault="00550054">
            <w:pPr>
              <w:ind w:left="284"/>
              <w:jc w:val="center"/>
              <w:rPr>
                <w:lang w:val="uz-Cyrl-UZ"/>
              </w:rPr>
            </w:pPr>
          </w:p>
        </w:tc>
        <w:tc>
          <w:tcPr>
            <w:tcW w:w="234" w:type="dxa"/>
            <w:shd w:val="clear" w:color="auto" w:fill="auto"/>
          </w:tcPr>
          <w:p w:rsidR="00550054" w:rsidRDefault="00550054">
            <w:pPr>
              <w:ind w:left="284"/>
              <w:jc w:val="both"/>
              <w:rPr>
                <w:lang w:val="uz-Cyrl-UZ"/>
              </w:rPr>
            </w:pPr>
          </w:p>
        </w:tc>
        <w:tc>
          <w:tcPr>
            <w:tcW w:w="4750" w:type="dxa"/>
            <w:tcBorders>
              <w:top w:val="single" w:sz="4" w:space="0" w:color="000000"/>
            </w:tcBorders>
            <w:shd w:val="clear" w:color="auto" w:fill="auto"/>
          </w:tcPr>
          <w:p w:rsidR="00550054" w:rsidRDefault="00550054">
            <w:pPr>
              <w:ind w:left="284"/>
              <w:jc w:val="center"/>
              <w:rPr>
                <w:lang w:val="uz-Cyrl-UZ"/>
              </w:rPr>
            </w:pPr>
          </w:p>
        </w:tc>
      </w:tr>
      <w:tr w:rsidR="00550054">
        <w:trPr>
          <w:trHeight w:val="199"/>
          <w:jc w:val="center"/>
        </w:trPr>
        <w:tc>
          <w:tcPr>
            <w:tcW w:w="4744" w:type="dxa"/>
            <w:shd w:val="clear" w:color="auto" w:fill="auto"/>
          </w:tcPr>
          <w:p w:rsidR="00550054" w:rsidRDefault="00550054">
            <w:pPr>
              <w:ind w:left="284"/>
              <w:jc w:val="center"/>
              <w:rPr>
                <w:lang w:val="uz-Cyrl-UZ"/>
              </w:rPr>
            </w:pPr>
          </w:p>
        </w:tc>
        <w:tc>
          <w:tcPr>
            <w:tcW w:w="234" w:type="dxa"/>
            <w:shd w:val="clear" w:color="auto" w:fill="auto"/>
          </w:tcPr>
          <w:p w:rsidR="00550054" w:rsidRDefault="00550054">
            <w:pPr>
              <w:ind w:left="284"/>
              <w:jc w:val="both"/>
              <w:rPr>
                <w:lang w:val="uz-Cyrl-UZ"/>
              </w:rPr>
            </w:pPr>
          </w:p>
        </w:tc>
        <w:tc>
          <w:tcPr>
            <w:tcW w:w="4750" w:type="dxa"/>
            <w:shd w:val="clear" w:color="auto" w:fill="auto"/>
          </w:tcPr>
          <w:p w:rsidR="00550054" w:rsidRDefault="00550054">
            <w:pPr>
              <w:ind w:left="284"/>
              <w:jc w:val="center"/>
              <w:rPr>
                <w:lang w:val="uz-Cyrl-UZ"/>
              </w:rPr>
            </w:pPr>
          </w:p>
        </w:tc>
      </w:tr>
      <w:tr w:rsidR="00550054" w:rsidRPr="00DB6909">
        <w:trPr>
          <w:trHeight w:val="212"/>
          <w:jc w:val="center"/>
        </w:trPr>
        <w:tc>
          <w:tcPr>
            <w:tcW w:w="4744" w:type="dxa"/>
            <w:shd w:val="clear" w:color="auto" w:fill="auto"/>
          </w:tcPr>
          <w:p w:rsidR="00550054" w:rsidRDefault="00550054">
            <w:pPr>
              <w:pStyle w:val="2"/>
              <w:ind w:left="284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34" w:type="dxa"/>
            <w:shd w:val="clear" w:color="auto" w:fill="auto"/>
          </w:tcPr>
          <w:p w:rsidR="00550054" w:rsidRDefault="00550054">
            <w:pPr>
              <w:ind w:left="284"/>
              <w:jc w:val="both"/>
              <w:rPr>
                <w:lang w:val="uz-Cyrl-UZ"/>
              </w:rPr>
            </w:pPr>
          </w:p>
        </w:tc>
        <w:tc>
          <w:tcPr>
            <w:tcW w:w="4750" w:type="dxa"/>
            <w:shd w:val="clear" w:color="auto" w:fill="auto"/>
          </w:tcPr>
          <w:p w:rsidR="00550054" w:rsidRDefault="00550054">
            <w:pPr>
              <w:ind w:left="284"/>
              <w:rPr>
                <w:lang w:val="en-US"/>
              </w:rPr>
            </w:pPr>
          </w:p>
        </w:tc>
      </w:tr>
      <w:tr w:rsidR="00550054">
        <w:trPr>
          <w:trHeight w:val="212"/>
          <w:jc w:val="center"/>
        </w:trPr>
        <w:tc>
          <w:tcPr>
            <w:tcW w:w="4744" w:type="dxa"/>
            <w:shd w:val="clear" w:color="auto" w:fill="auto"/>
          </w:tcPr>
          <w:p w:rsidR="00550054" w:rsidRDefault="00550054">
            <w:pPr>
              <w:ind w:left="284"/>
              <w:rPr>
                <w:lang w:val="en-US"/>
              </w:rPr>
            </w:pPr>
          </w:p>
        </w:tc>
        <w:tc>
          <w:tcPr>
            <w:tcW w:w="234" w:type="dxa"/>
            <w:shd w:val="clear" w:color="auto" w:fill="auto"/>
          </w:tcPr>
          <w:p w:rsidR="00550054" w:rsidRDefault="00550054">
            <w:pPr>
              <w:ind w:left="284"/>
              <w:jc w:val="both"/>
            </w:pPr>
          </w:p>
        </w:tc>
        <w:tc>
          <w:tcPr>
            <w:tcW w:w="4750" w:type="dxa"/>
            <w:shd w:val="clear" w:color="auto" w:fill="auto"/>
          </w:tcPr>
          <w:p w:rsidR="00550054" w:rsidRDefault="00550054">
            <w:pPr>
              <w:ind w:left="284"/>
            </w:pPr>
          </w:p>
        </w:tc>
      </w:tr>
      <w:tr w:rsidR="00550054">
        <w:trPr>
          <w:trHeight w:val="199"/>
          <w:jc w:val="center"/>
        </w:trPr>
        <w:tc>
          <w:tcPr>
            <w:tcW w:w="4744" w:type="dxa"/>
            <w:shd w:val="clear" w:color="auto" w:fill="auto"/>
          </w:tcPr>
          <w:p w:rsidR="00550054" w:rsidRDefault="00550054">
            <w:pPr>
              <w:ind w:left="284"/>
              <w:rPr>
                <w:lang w:val="en-US"/>
              </w:rPr>
            </w:pPr>
          </w:p>
        </w:tc>
        <w:tc>
          <w:tcPr>
            <w:tcW w:w="234" w:type="dxa"/>
            <w:shd w:val="clear" w:color="auto" w:fill="auto"/>
          </w:tcPr>
          <w:p w:rsidR="00550054" w:rsidRDefault="00550054">
            <w:pPr>
              <w:ind w:left="284"/>
              <w:jc w:val="both"/>
              <w:rPr>
                <w:lang w:val="en-US"/>
              </w:rPr>
            </w:pPr>
          </w:p>
        </w:tc>
        <w:tc>
          <w:tcPr>
            <w:tcW w:w="4750" w:type="dxa"/>
            <w:shd w:val="clear" w:color="auto" w:fill="auto"/>
          </w:tcPr>
          <w:p w:rsidR="00550054" w:rsidRDefault="00550054">
            <w:pPr>
              <w:ind w:left="284"/>
            </w:pPr>
          </w:p>
        </w:tc>
      </w:tr>
      <w:tr w:rsidR="00550054">
        <w:trPr>
          <w:trHeight w:val="199"/>
          <w:jc w:val="center"/>
        </w:trPr>
        <w:tc>
          <w:tcPr>
            <w:tcW w:w="4744" w:type="dxa"/>
            <w:shd w:val="clear" w:color="auto" w:fill="auto"/>
          </w:tcPr>
          <w:p w:rsidR="00550054" w:rsidRDefault="00550054">
            <w:pPr>
              <w:ind w:left="284"/>
              <w:rPr>
                <w:lang w:val="en-US"/>
              </w:rPr>
            </w:pPr>
          </w:p>
        </w:tc>
        <w:tc>
          <w:tcPr>
            <w:tcW w:w="234" w:type="dxa"/>
            <w:shd w:val="clear" w:color="auto" w:fill="auto"/>
          </w:tcPr>
          <w:p w:rsidR="00550054" w:rsidRDefault="00550054">
            <w:pPr>
              <w:ind w:left="284"/>
              <w:jc w:val="both"/>
            </w:pPr>
          </w:p>
        </w:tc>
        <w:tc>
          <w:tcPr>
            <w:tcW w:w="4750" w:type="dxa"/>
            <w:shd w:val="clear" w:color="auto" w:fill="auto"/>
          </w:tcPr>
          <w:p w:rsidR="00550054" w:rsidRDefault="00550054">
            <w:pPr>
              <w:ind w:left="284"/>
            </w:pPr>
          </w:p>
        </w:tc>
      </w:tr>
      <w:tr w:rsidR="00550054">
        <w:trPr>
          <w:trHeight w:val="212"/>
          <w:jc w:val="center"/>
        </w:trPr>
        <w:tc>
          <w:tcPr>
            <w:tcW w:w="4744" w:type="dxa"/>
            <w:shd w:val="clear" w:color="auto" w:fill="auto"/>
          </w:tcPr>
          <w:p w:rsidR="00550054" w:rsidRDefault="00550054">
            <w:pPr>
              <w:ind w:left="284"/>
              <w:rPr>
                <w:lang w:val="en-US"/>
              </w:rPr>
            </w:pPr>
          </w:p>
        </w:tc>
        <w:tc>
          <w:tcPr>
            <w:tcW w:w="234" w:type="dxa"/>
            <w:shd w:val="clear" w:color="auto" w:fill="auto"/>
          </w:tcPr>
          <w:p w:rsidR="00550054" w:rsidRDefault="00550054">
            <w:pPr>
              <w:ind w:left="284"/>
              <w:jc w:val="both"/>
            </w:pPr>
          </w:p>
        </w:tc>
        <w:tc>
          <w:tcPr>
            <w:tcW w:w="4750" w:type="dxa"/>
            <w:shd w:val="clear" w:color="auto" w:fill="auto"/>
          </w:tcPr>
          <w:p w:rsidR="00550054" w:rsidRDefault="00550054">
            <w:pPr>
              <w:ind w:left="284"/>
              <w:rPr>
                <w:lang w:val="en-US"/>
              </w:rPr>
            </w:pPr>
          </w:p>
        </w:tc>
      </w:tr>
      <w:tr w:rsidR="00550054">
        <w:trPr>
          <w:trHeight w:val="72"/>
          <w:jc w:val="center"/>
        </w:trPr>
        <w:tc>
          <w:tcPr>
            <w:tcW w:w="4744" w:type="dxa"/>
            <w:shd w:val="clear" w:color="auto" w:fill="auto"/>
          </w:tcPr>
          <w:p w:rsidR="00550054" w:rsidRDefault="00550054">
            <w:pPr>
              <w:ind w:left="284"/>
              <w:rPr>
                <w:lang w:val="en-US"/>
              </w:rPr>
            </w:pPr>
          </w:p>
        </w:tc>
        <w:tc>
          <w:tcPr>
            <w:tcW w:w="234" w:type="dxa"/>
            <w:shd w:val="clear" w:color="auto" w:fill="auto"/>
          </w:tcPr>
          <w:p w:rsidR="00550054" w:rsidRDefault="00550054">
            <w:pPr>
              <w:ind w:left="284"/>
              <w:jc w:val="both"/>
            </w:pPr>
          </w:p>
        </w:tc>
        <w:tc>
          <w:tcPr>
            <w:tcW w:w="4750" w:type="dxa"/>
            <w:shd w:val="clear" w:color="auto" w:fill="auto"/>
          </w:tcPr>
          <w:p w:rsidR="00550054" w:rsidRDefault="00550054">
            <w:pPr>
              <w:ind w:left="284"/>
              <w:rPr>
                <w:u w:val="single"/>
                <w:lang w:val="en-US"/>
              </w:rPr>
            </w:pPr>
          </w:p>
        </w:tc>
      </w:tr>
      <w:tr w:rsidR="00550054">
        <w:trPr>
          <w:trHeight w:val="199"/>
          <w:jc w:val="center"/>
        </w:trPr>
        <w:tc>
          <w:tcPr>
            <w:tcW w:w="4744" w:type="dxa"/>
            <w:shd w:val="clear" w:color="auto" w:fill="auto"/>
          </w:tcPr>
          <w:p w:rsidR="00550054" w:rsidRDefault="00550054">
            <w:pPr>
              <w:ind w:left="284"/>
            </w:pPr>
          </w:p>
        </w:tc>
        <w:tc>
          <w:tcPr>
            <w:tcW w:w="234" w:type="dxa"/>
            <w:shd w:val="clear" w:color="auto" w:fill="auto"/>
          </w:tcPr>
          <w:p w:rsidR="00550054" w:rsidRDefault="00550054">
            <w:pPr>
              <w:ind w:left="284"/>
              <w:jc w:val="both"/>
            </w:pPr>
          </w:p>
        </w:tc>
        <w:tc>
          <w:tcPr>
            <w:tcW w:w="4750" w:type="dxa"/>
            <w:shd w:val="clear" w:color="auto" w:fill="auto"/>
          </w:tcPr>
          <w:p w:rsidR="00550054" w:rsidRDefault="00550054">
            <w:pPr>
              <w:ind w:left="284"/>
            </w:pPr>
          </w:p>
        </w:tc>
      </w:tr>
      <w:tr w:rsidR="00550054" w:rsidRPr="00DB6909">
        <w:trPr>
          <w:trHeight w:val="1023"/>
          <w:jc w:val="center"/>
        </w:trPr>
        <w:tc>
          <w:tcPr>
            <w:tcW w:w="4744" w:type="dxa"/>
            <w:shd w:val="clear" w:color="auto" w:fill="auto"/>
          </w:tcPr>
          <w:p w:rsidR="00550054" w:rsidRDefault="00550054">
            <w:pPr>
              <w:ind w:left="284"/>
              <w:rPr>
                <w:lang w:val="en-US"/>
              </w:rPr>
            </w:pPr>
          </w:p>
        </w:tc>
        <w:tc>
          <w:tcPr>
            <w:tcW w:w="234" w:type="dxa"/>
            <w:shd w:val="clear" w:color="auto" w:fill="auto"/>
          </w:tcPr>
          <w:p w:rsidR="00550054" w:rsidRDefault="00550054">
            <w:pPr>
              <w:ind w:left="284"/>
              <w:jc w:val="both"/>
              <w:rPr>
                <w:lang w:val="en-US"/>
              </w:rPr>
            </w:pPr>
          </w:p>
        </w:tc>
        <w:tc>
          <w:tcPr>
            <w:tcW w:w="4750" w:type="dxa"/>
            <w:tcBorders>
              <w:bottom w:val="single" w:sz="4" w:space="0" w:color="000000"/>
            </w:tcBorders>
            <w:shd w:val="clear" w:color="auto" w:fill="auto"/>
          </w:tcPr>
          <w:p w:rsidR="00550054" w:rsidRDefault="00550054">
            <w:pPr>
              <w:ind w:left="284"/>
              <w:rPr>
                <w:lang w:val="en-US"/>
              </w:rPr>
            </w:pPr>
          </w:p>
        </w:tc>
      </w:tr>
      <w:tr w:rsidR="00550054">
        <w:trPr>
          <w:trHeight w:val="332"/>
          <w:jc w:val="center"/>
        </w:trPr>
        <w:tc>
          <w:tcPr>
            <w:tcW w:w="4744" w:type="dxa"/>
            <w:tcBorders>
              <w:top w:val="single" w:sz="4" w:space="0" w:color="000000"/>
            </w:tcBorders>
            <w:shd w:val="clear" w:color="auto" w:fill="auto"/>
          </w:tcPr>
          <w:p w:rsidR="00550054" w:rsidRDefault="00550054">
            <w:pPr>
              <w:ind w:left="284"/>
              <w:jc w:val="center"/>
            </w:pPr>
          </w:p>
        </w:tc>
        <w:tc>
          <w:tcPr>
            <w:tcW w:w="234" w:type="dxa"/>
            <w:shd w:val="clear" w:color="auto" w:fill="auto"/>
          </w:tcPr>
          <w:p w:rsidR="00550054" w:rsidRDefault="00550054">
            <w:pPr>
              <w:ind w:left="284"/>
              <w:jc w:val="both"/>
            </w:pPr>
          </w:p>
        </w:tc>
        <w:tc>
          <w:tcPr>
            <w:tcW w:w="4750" w:type="dxa"/>
            <w:tcBorders>
              <w:top w:val="single" w:sz="4" w:space="0" w:color="000000"/>
            </w:tcBorders>
            <w:shd w:val="clear" w:color="auto" w:fill="auto"/>
          </w:tcPr>
          <w:p w:rsidR="00550054" w:rsidRDefault="00550054">
            <w:pPr>
              <w:ind w:left="284"/>
              <w:jc w:val="center"/>
            </w:pPr>
          </w:p>
        </w:tc>
      </w:tr>
      <w:tr w:rsidR="00550054">
        <w:trPr>
          <w:trHeight w:val="412"/>
          <w:jc w:val="center"/>
        </w:trPr>
        <w:tc>
          <w:tcPr>
            <w:tcW w:w="4744" w:type="dxa"/>
            <w:shd w:val="clear" w:color="auto" w:fill="auto"/>
          </w:tcPr>
          <w:p w:rsidR="00550054" w:rsidRDefault="00550054">
            <w:pPr>
              <w:ind w:left="284"/>
              <w:jc w:val="center"/>
            </w:pPr>
          </w:p>
        </w:tc>
        <w:tc>
          <w:tcPr>
            <w:tcW w:w="234" w:type="dxa"/>
            <w:shd w:val="clear" w:color="auto" w:fill="auto"/>
          </w:tcPr>
          <w:p w:rsidR="00550054" w:rsidRDefault="00550054">
            <w:pPr>
              <w:ind w:left="284"/>
              <w:jc w:val="both"/>
            </w:pPr>
          </w:p>
        </w:tc>
        <w:tc>
          <w:tcPr>
            <w:tcW w:w="4750" w:type="dxa"/>
            <w:shd w:val="clear" w:color="auto" w:fill="auto"/>
          </w:tcPr>
          <w:p w:rsidR="00550054" w:rsidRDefault="00550054">
            <w:pPr>
              <w:ind w:left="284"/>
              <w:jc w:val="center"/>
            </w:pPr>
          </w:p>
        </w:tc>
      </w:tr>
    </w:tbl>
    <w:p w:rsidR="00550054" w:rsidRDefault="00550054">
      <w:pPr>
        <w:ind w:left="284" w:firstLine="708"/>
      </w:pPr>
    </w:p>
    <w:sectPr w:rsidR="00550054">
      <w:pgSz w:w="11906" w:h="16838"/>
      <w:pgMar w:top="540" w:right="991" w:bottom="540" w:left="5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656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0739AF"/>
    <w:multiLevelType w:val="multilevel"/>
    <w:tmpl w:val="4A5C02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54"/>
    <w:rsid w:val="00550054"/>
    <w:rsid w:val="00D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6212"/>
  <w15:docId w15:val="{13EA64A5-C702-4277-8BA4-F82EBDF8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632A"/>
    <w:pPr>
      <w:keepNext/>
      <w:outlineLvl w:val="1"/>
    </w:pPr>
    <w:rPr>
      <w:rFonts w:ascii="Arial" w:hAnsi="Arial" w:cs="Mangal"/>
      <w:b/>
      <w:sz w:val="18"/>
      <w:szCs w:val="20"/>
      <w:lang w:bidi="ne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1206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qFormat/>
    <w:rsid w:val="00120617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qFormat/>
    <w:rsid w:val="00D3632A"/>
    <w:rPr>
      <w:rFonts w:ascii="Arial" w:eastAsia="Times New Roman" w:hAnsi="Arial" w:cs="Mangal"/>
      <w:b/>
      <w:sz w:val="18"/>
      <w:szCs w:val="20"/>
      <w:lang w:eastAsia="ru-RU" w:bidi="ne-IN"/>
    </w:rPr>
  </w:style>
  <w:style w:type="character" w:customStyle="1" w:styleId="a4">
    <w:name w:val="Текст выноски Знак"/>
    <w:basedOn w:val="a0"/>
    <w:uiPriority w:val="99"/>
    <w:semiHidden/>
    <w:qFormat/>
    <w:rsid w:val="005D282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6"/>
    <w:qFormat/>
    <w:rsid w:val="00120617"/>
    <w:pPr>
      <w:jc w:val="center"/>
    </w:pPr>
    <w:rPr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Style9">
    <w:name w:val="Style9"/>
    <w:basedOn w:val="a"/>
    <w:qFormat/>
    <w:rsid w:val="00120617"/>
    <w:pPr>
      <w:widowControl w:val="0"/>
      <w:spacing w:line="240" w:lineRule="exact"/>
      <w:ind w:firstLine="288"/>
      <w:jc w:val="both"/>
    </w:pPr>
  </w:style>
  <w:style w:type="paragraph" w:styleId="aa">
    <w:name w:val="List Paragraph"/>
    <w:basedOn w:val="a"/>
    <w:qFormat/>
    <w:rsid w:val="00A741D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5D2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C2601-C15C-482E-8270-F4B152E7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1500</Words>
  <Characters>8556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Windows_10</cp:lastModifiedBy>
  <cp:revision>14</cp:revision>
  <cp:lastPrinted>2022-05-23T08:15:00Z</cp:lastPrinted>
  <dcterms:created xsi:type="dcterms:W3CDTF">2022-05-16T06:51:00Z</dcterms:created>
  <dcterms:modified xsi:type="dcterms:W3CDTF">2022-06-30T02:53:00Z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