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5A3B2" w14:textId="66ED788B" w:rsidR="001C27EF" w:rsidRPr="00330F85" w:rsidRDefault="005019BB" w:rsidP="00D6775E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uz-Cyrl-UZ"/>
        </w:rPr>
      </w:pPr>
      <w:proofErr w:type="spellStart"/>
      <w:r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D6775E">
        <w:rPr>
          <w:color w:val="000000"/>
          <w:sz w:val="20"/>
          <w:szCs w:val="20"/>
          <w:lang w:val="en-US"/>
        </w:rPr>
        <w:t>va</w:t>
      </w:r>
      <w:proofErr w:type="spellEnd"/>
      <w:r w:rsidR="00D6775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D6775E">
        <w:rPr>
          <w:color w:val="000000"/>
          <w:sz w:val="20"/>
          <w:szCs w:val="20"/>
          <w:lang w:val="en-US"/>
        </w:rPr>
        <w:t>xizmat</w:t>
      </w:r>
      <w:proofErr w:type="spellEnd"/>
      <w:r w:rsidR="00D6775E">
        <w:rPr>
          <w:color w:val="000000"/>
          <w:sz w:val="20"/>
          <w:szCs w:val="20"/>
          <w:lang w:val="en-US"/>
        </w:rPr>
        <w:t xml:space="preserve"> ko’rsatish</w:t>
      </w:r>
      <w:bookmarkStart w:id="0" w:name="_GoBack"/>
      <w:bookmarkEnd w:id="0"/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1FFFC005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 w:rsidRPr="00D6775E">
        <w:rPr>
          <w:b/>
          <w:color w:val="000000"/>
          <w:sz w:val="20"/>
          <w:szCs w:val="20"/>
          <w:u w:val="single"/>
          <w:lang w:val="uz-Cyrl-UZ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0</w:t>
      </w:r>
      <w:r w:rsidR="00D6775E" w:rsidRPr="00D6775E">
        <w:rPr>
          <w:b/>
          <w:color w:val="000000"/>
          <w:sz w:val="20"/>
          <w:szCs w:val="20"/>
          <w:u w:val="single"/>
          <w:lang w:val="uz-Cyrl-UZ"/>
        </w:rPr>
        <w:t>8</w:t>
      </w:r>
      <w:r w:rsidR="00BF120B" w:rsidRPr="00D6775E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2CC1844B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D6775E" w:rsidRPr="00D6775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00271024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D6775E" w:rsidRPr="00D6775E">
        <w:rPr>
          <w:color w:val="000000"/>
          <w:sz w:val="20"/>
          <w:szCs w:val="20"/>
          <w:u w:val="single"/>
          <w:lang w:val="uz-Cyrl-UZ"/>
        </w:rPr>
        <w:t>_________________________________________________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58FAFA62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inventarlar qiymati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3712DDF3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maxsulot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yetkazib</w:t>
      </w:r>
      <w:proofErr w:type="spellEnd"/>
      <w:r w:rsidR="0098244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244E">
        <w:rPr>
          <w:color w:val="000000"/>
          <w:sz w:val="20"/>
          <w:szCs w:val="20"/>
          <w:lang w:val="en-US"/>
        </w:rPr>
        <w:t>berilishi</w:t>
      </w:r>
      <w:proofErr w:type="spellEnd"/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3FED5120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377AA21E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07120A1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3C68FA92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maxsulotlarni o`rnatish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B271F5F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46AF9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</w:t>
            </w:r>
            <w:proofErr w:type="spellStart"/>
            <w:r w:rsidRPr="000118BE">
              <w:rPr>
                <w:color w:val="000000"/>
                <w:sz w:val="20"/>
                <w:szCs w:val="20"/>
                <w:lang w:val="en-US"/>
              </w:rPr>
              <w:t>imzo</w:t>
            </w:r>
            <w:proofErr w:type="spellEnd"/>
            <w:r w:rsidRPr="000118BE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75A2DEA9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444F256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64116F2F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BE342C8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2885AAEE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2AFB2FC0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1639093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63AE173D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28BE7613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2DC47FF5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666DB7AA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2BD08C" w14:textId="77777777" w:rsidR="00D6775E" w:rsidRDefault="00D6775E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F"/>
    <w:rsid w:val="000118BE"/>
    <w:rsid w:val="00101A40"/>
    <w:rsid w:val="001C27EF"/>
    <w:rsid w:val="002A13EE"/>
    <w:rsid w:val="003E7CE6"/>
    <w:rsid w:val="00466CD3"/>
    <w:rsid w:val="00484132"/>
    <w:rsid w:val="005019BB"/>
    <w:rsid w:val="006F001F"/>
    <w:rsid w:val="00772F87"/>
    <w:rsid w:val="0082343C"/>
    <w:rsid w:val="008553A6"/>
    <w:rsid w:val="00873862"/>
    <w:rsid w:val="0090537D"/>
    <w:rsid w:val="00922702"/>
    <w:rsid w:val="00943515"/>
    <w:rsid w:val="0098244E"/>
    <w:rsid w:val="009A16CA"/>
    <w:rsid w:val="00A15FF2"/>
    <w:rsid w:val="00AE1780"/>
    <w:rsid w:val="00B135FF"/>
    <w:rsid w:val="00BE1892"/>
    <w:rsid w:val="00BF120B"/>
    <w:rsid w:val="00CD45AF"/>
    <w:rsid w:val="00D35109"/>
    <w:rsid w:val="00D6775E"/>
    <w:rsid w:val="00E15375"/>
    <w:rsid w:val="00E52CCC"/>
    <w:rsid w:val="00E624CB"/>
    <w:rsid w:val="00E6713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19</cp:revision>
  <dcterms:created xsi:type="dcterms:W3CDTF">2022-05-04T13:22:00Z</dcterms:created>
  <dcterms:modified xsi:type="dcterms:W3CDTF">2022-08-26T10:39:00Z</dcterms:modified>
</cp:coreProperties>
</file>