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68" w:rsidRPr="00701CF3" w:rsidRDefault="00A74168" w:rsidP="00A74168">
      <w:pPr>
        <w:jc w:val="center"/>
        <w:rPr>
          <w:b/>
          <w:sz w:val="24"/>
          <w:szCs w:val="24"/>
        </w:rPr>
      </w:pPr>
      <w:r w:rsidRPr="00701CF3">
        <w:rPr>
          <w:b/>
          <w:sz w:val="24"/>
          <w:szCs w:val="24"/>
          <w:lang w:val="uz-Cyrl-UZ"/>
        </w:rPr>
        <w:t>ШАРТНОМА  №</w:t>
      </w:r>
      <w:r w:rsidRPr="00701CF3">
        <w:rPr>
          <w:b/>
          <w:sz w:val="24"/>
          <w:szCs w:val="24"/>
        </w:rPr>
        <w:t>______</w:t>
      </w:r>
    </w:p>
    <w:p w:rsidR="00A74168" w:rsidRPr="00701CF3" w:rsidRDefault="00A74168" w:rsidP="00A74168">
      <w:pPr>
        <w:jc w:val="both"/>
        <w:rPr>
          <w:sz w:val="24"/>
          <w:szCs w:val="24"/>
          <w:lang w:val="uz-Cyrl-UZ"/>
        </w:rPr>
      </w:pPr>
      <w:r w:rsidRPr="00701CF3">
        <w:rPr>
          <w:sz w:val="24"/>
          <w:szCs w:val="24"/>
          <w:lang w:val="uz-Cyrl-UZ"/>
        </w:rPr>
        <w:t xml:space="preserve"> </w:t>
      </w:r>
    </w:p>
    <w:p w:rsidR="00A74168" w:rsidRPr="00701CF3" w:rsidRDefault="00A74168" w:rsidP="00A74168">
      <w:pPr>
        <w:jc w:val="both"/>
        <w:rPr>
          <w:sz w:val="24"/>
          <w:szCs w:val="24"/>
          <w:lang w:val="uz-Cyrl-UZ"/>
        </w:rPr>
      </w:pPr>
      <w:r w:rsidRPr="00701CF3">
        <w:rPr>
          <w:sz w:val="24"/>
          <w:szCs w:val="24"/>
          <w:lang w:val="uz-Cyrl-UZ"/>
        </w:rPr>
        <w:t xml:space="preserve">   «____»_______________20__й.                                                __________________________</w:t>
      </w:r>
    </w:p>
    <w:p w:rsidR="00A74168" w:rsidRPr="00701CF3" w:rsidRDefault="00A74168" w:rsidP="00A74168">
      <w:pPr>
        <w:jc w:val="both"/>
        <w:rPr>
          <w:sz w:val="24"/>
          <w:szCs w:val="24"/>
          <w:lang w:val="uz-Cyrl-UZ"/>
        </w:rPr>
      </w:pPr>
    </w:p>
    <w:p w:rsidR="00A74168" w:rsidRPr="00701CF3" w:rsidRDefault="00A74168" w:rsidP="00A74168">
      <w:pPr>
        <w:jc w:val="both"/>
        <w:rPr>
          <w:sz w:val="24"/>
          <w:szCs w:val="24"/>
          <w:lang w:val="uz-Cyrl-UZ"/>
        </w:rPr>
      </w:pPr>
      <w:r w:rsidRPr="00701CF3">
        <w:rPr>
          <w:b/>
          <w:sz w:val="24"/>
          <w:szCs w:val="24"/>
          <w:lang w:val="uz-Cyrl-UZ"/>
        </w:rPr>
        <w:tab/>
      </w:r>
      <w:r w:rsidRPr="00701CF3">
        <w:rPr>
          <w:sz w:val="24"/>
          <w:szCs w:val="24"/>
          <w:lang w:val="uz-Cyrl-UZ"/>
        </w:rPr>
        <w:t xml:space="preserve">Ўз низомига кўра </w:t>
      </w:r>
      <w:r>
        <w:rPr>
          <w:sz w:val="24"/>
          <w:szCs w:val="24"/>
          <w:lang w:val="uz-Cyrl-UZ"/>
        </w:rPr>
        <w:t>____________________________________</w:t>
      </w:r>
      <w:r w:rsidRPr="00701CF3">
        <w:rPr>
          <w:sz w:val="24"/>
          <w:szCs w:val="24"/>
          <w:lang w:val="uz-Cyrl-UZ"/>
        </w:rPr>
        <w:t xml:space="preserve">директори </w:t>
      </w:r>
      <w:r>
        <w:rPr>
          <w:sz w:val="24"/>
          <w:szCs w:val="24"/>
          <w:lang w:val="uz-Cyrl-UZ"/>
        </w:rPr>
        <w:t>____________________</w:t>
      </w:r>
      <w:r w:rsidRPr="00701CF3">
        <w:rPr>
          <w:sz w:val="24"/>
          <w:szCs w:val="24"/>
          <w:lang w:val="uz-Cyrl-UZ"/>
        </w:rPr>
        <w:t xml:space="preserve">(бундан кейин </w:t>
      </w:r>
      <w:r w:rsidRPr="00701CF3">
        <w:rPr>
          <w:b/>
          <w:sz w:val="24"/>
          <w:szCs w:val="24"/>
          <w:lang w:val="uz-Cyrl-UZ"/>
        </w:rPr>
        <w:t>“Сотувчи”</w:t>
      </w:r>
      <w:r w:rsidRPr="00701CF3">
        <w:rPr>
          <w:sz w:val="24"/>
          <w:szCs w:val="24"/>
          <w:lang w:val="uz-Cyrl-UZ"/>
        </w:rPr>
        <w:t xml:space="preserve"> юритилади) ва иккинчи  томондан, </w:t>
      </w:r>
      <w:r>
        <w:rPr>
          <w:b/>
          <w:sz w:val="24"/>
          <w:szCs w:val="24"/>
          <w:lang w:val="uz-Cyrl-UZ"/>
        </w:rPr>
        <w:t>_________________________________</w:t>
      </w:r>
      <w:r w:rsidRPr="00701CF3">
        <w:rPr>
          <w:sz w:val="24"/>
          <w:szCs w:val="24"/>
          <w:lang w:val="uz-Cyrl-UZ"/>
        </w:rPr>
        <w:t xml:space="preserve">низоми асосида директор </w:t>
      </w:r>
      <w:r>
        <w:rPr>
          <w:sz w:val="24"/>
          <w:szCs w:val="24"/>
          <w:lang w:val="uz-Cyrl-UZ"/>
        </w:rPr>
        <w:t>____________________</w:t>
      </w:r>
      <w:r w:rsidRPr="00701CF3">
        <w:rPr>
          <w:sz w:val="24"/>
          <w:szCs w:val="24"/>
          <w:lang w:val="uz-Cyrl-UZ"/>
        </w:rPr>
        <w:t xml:space="preserve"> (бундан кейин </w:t>
      </w:r>
      <w:r w:rsidRPr="00701CF3">
        <w:rPr>
          <w:b/>
          <w:sz w:val="24"/>
          <w:szCs w:val="24"/>
          <w:lang w:val="uz-Cyrl-UZ"/>
        </w:rPr>
        <w:t xml:space="preserve">“Харидор” </w:t>
      </w:r>
      <w:r w:rsidRPr="00701CF3">
        <w:rPr>
          <w:sz w:val="24"/>
          <w:szCs w:val="24"/>
          <w:lang w:val="uz-Cyrl-UZ"/>
        </w:rPr>
        <w:t>юритилади)ушбу  шартномани  туздик.</w:t>
      </w:r>
    </w:p>
    <w:p w:rsidR="00A74168" w:rsidRPr="00701CF3" w:rsidRDefault="00A74168" w:rsidP="00A74168">
      <w:pPr>
        <w:jc w:val="both"/>
        <w:rPr>
          <w:sz w:val="24"/>
          <w:szCs w:val="24"/>
          <w:lang w:val="uz-Cyrl-UZ"/>
        </w:rPr>
      </w:pPr>
      <w:r>
        <w:rPr>
          <w:sz w:val="24"/>
          <w:szCs w:val="24"/>
          <w:lang w:val="uz-Cyrl-UZ"/>
        </w:rPr>
        <w:t>1. Қурилиш</w:t>
      </w:r>
      <w:r w:rsidRPr="00701CF3">
        <w:rPr>
          <w:sz w:val="24"/>
          <w:szCs w:val="24"/>
          <w:lang w:val="uz-Cyrl-UZ"/>
        </w:rPr>
        <w:t xml:space="preserve"> маҳсулотларни  </w:t>
      </w:r>
      <w:r w:rsidRPr="00701CF3">
        <w:rPr>
          <w:b/>
          <w:sz w:val="24"/>
          <w:szCs w:val="24"/>
          <w:lang w:val="uz-Cyrl-UZ"/>
        </w:rPr>
        <w:t>“Сотувчи”</w:t>
      </w:r>
      <w:r w:rsidRPr="00701CF3">
        <w:rPr>
          <w:sz w:val="24"/>
          <w:szCs w:val="24"/>
          <w:lang w:val="uz-Cyrl-UZ"/>
        </w:rPr>
        <w:t xml:space="preserve"> </w:t>
      </w:r>
      <w:r w:rsidRPr="00701CF3">
        <w:rPr>
          <w:b/>
          <w:sz w:val="24"/>
          <w:szCs w:val="24"/>
          <w:lang w:val="uz-Cyrl-UZ"/>
        </w:rPr>
        <w:t>“Харидор”</w:t>
      </w:r>
      <w:r>
        <w:rPr>
          <w:sz w:val="24"/>
          <w:szCs w:val="24"/>
          <w:lang w:val="uz-Cyrl-UZ"/>
        </w:rPr>
        <w:t>га харидни амалга оширади ва шартнома суммаси</w:t>
      </w:r>
      <w:r w:rsidRPr="00701CF3">
        <w:rPr>
          <w:b/>
          <w:sz w:val="24"/>
          <w:szCs w:val="24"/>
          <w:lang w:val="uz-Cyrl-UZ"/>
        </w:rPr>
        <w:t>___________________________</w:t>
      </w:r>
      <w:r w:rsidRPr="00701CF3">
        <w:rPr>
          <w:sz w:val="24"/>
          <w:szCs w:val="24"/>
          <w:lang w:val="uz-Cyrl-UZ"/>
        </w:rPr>
        <w:t xml:space="preserve"> (</w:t>
      </w:r>
      <w:r>
        <w:rPr>
          <w:sz w:val="24"/>
          <w:szCs w:val="24"/>
          <w:lang w:val="uz-Cyrl-UZ"/>
        </w:rPr>
        <w:t>________________________________________</w:t>
      </w:r>
      <w:r w:rsidRPr="00701CF3">
        <w:rPr>
          <w:sz w:val="24"/>
          <w:szCs w:val="24"/>
          <w:lang w:val="uz-Cyrl-UZ"/>
        </w:rPr>
        <w:t xml:space="preserve">) </w:t>
      </w:r>
      <w:r w:rsidRPr="00701CF3">
        <w:rPr>
          <w:b/>
          <w:sz w:val="24"/>
          <w:szCs w:val="24"/>
          <w:lang w:val="uz-Cyrl-UZ"/>
        </w:rPr>
        <w:t>сум</w:t>
      </w:r>
    </w:p>
    <w:p w:rsidR="00A74168" w:rsidRPr="00701CF3" w:rsidRDefault="00A74168" w:rsidP="00A74168">
      <w:pPr>
        <w:jc w:val="both"/>
        <w:rPr>
          <w:sz w:val="24"/>
          <w:szCs w:val="24"/>
          <w:lang w:val="uz-Cyrl-UZ"/>
        </w:rPr>
      </w:pPr>
      <w:r w:rsidRPr="00701CF3">
        <w:rPr>
          <w:sz w:val="24"/>
          <w:szCs w:val="24"/>
          <w:lang w:val="uz-Cyrl-UZ"/>
        </w:rPr>
        <w:t>2. “Сотувчи” шартнома шартларини бажариш масъулятини ўз зиммасига олади.</w:t>
      </w:r>
    </w:p>
    <w:p w:rsidR="00A74168" w:rsidRPr="00701CF3" w:rsidRDefault="00A74168" w:rsidP="00A74168">
      <w:pPr>
        <w:jc w:val="both"/>
        <w:rPr>
          <w:sz w:val="24"/>
          <w:szCs w:val="24"/>
          <w:lang w:val="uz-Cyrl-UZ"/>
        </w:rPr>
      </w:pPr>
      <w:r w:rsidRPr="00701CF3">
        <w:rPr>
          <w:sz w:val="24"/>
          <w:szCs w:val="24"/>
          <w:lang w:val="uz-Cyrl-UZ"/>
        </w:rPr>
        <w:t>3. “Сотувчи” “Харидор”га сифатли давлат стандартлари шартларига жавоб берадиган махсулот беришни ўз зиммасига олади.</w:t>
      </w:r>
    </w:p>
    <w:p w:rsidR="00A74168" w:rsidRPr="00701CF3" w:rsidRDefault="00A74168" w:rsidP="00A74168">
      <w:pPr>
        <w:jc w:val="both"/>
        <w:rPr>
          <w:sz w:val="24"/>
          <w:szCs w:val="24"/>
          <w:lang w:val="uz-Cyrl-UZ"/>
        </w:rPr>
      </w:pPr>
      <w:r w:rsidRPr="00701CF3">
        <w:rPr>
          <w:sz w:val="24"/>
          <w:szCs w:val="24"/>
          <w:lang w:val="uz-Cyrl-UZ"/>
        </w:rPr>
        <w:t xml:space="preserve">4. “Харидор” “Сотувчи”га оладиган махсулоти учун “Сотувчи”нинг хисоб-рақамига 100% олдиндан тўловни амалга оширади. </w:t>
      </w:r>
    </w:p>
    <w:p w:rsidR="00A74168" w:rsidRPr="00701CF3" w:rsidRDefault="00A74168" w:rsidP="00A74168">
      <w:pPr>
        <w:jc w:val="both"/>
        <w:rPr>
          <w:sz w:val="24"/>
          <w:szCs w:val="24"/>
          <w:lang w:val="uz-Cyrl-UZ"/>
        </w:rPr>
      </w:pPr>
      <w:r w:rsidRPr="00701CF3">
        <w:rPr>
          <w:sz w:val="24"/>
          <w:szCs w:val="24"/>
          <w:lang w:val="uz-Cyrl-UZ"/>
        </w:rPr>
        <w:t>5. Тўлов шартномани 4-бандида кўрсатилиши бўйича амалга оширмаса “Харидор” “Сотувчи”га муддатити ўтказиб юборилган ҳар бир куни учун тўлов тўланмаган қисмининг 0.5% миқдорида пеня тўлайди, бироқ бундай пенянинг умумий сўммаси хизматлар қийматининг 50%идан ошмаслиги лозим.</w:t>
      </w:r>
    </w:p>
    <w:p w:rsidR="00A74168" w:rsidRPr="00701CF3" w:rsidRDefault="00A74168" w:rsidP="00A74168">
      <w:pPr>
        <w:jc w:val="both"/>
        <w:rPr>
          <w:sz w:val="24"/>
          <w:szCs w:val="24"/>
          <w:lang w:val="uz-Cyrl-UZ"/>
        </w:rPr>
      </w:pPr>
      <w:r w:rsidRPr="00701CF3">
        <w:rPr>
          <w:sz w:val="24"/>
          <w:szCs w:val="24"/>
          <w:lang w:val="uz-Cyrl-UZ"/>
        </w:rPr>
        <w:t>6. Нарх-наво ўзгариши билан огоҳлантирилган ҳолда нарх ўзгартирилади ва тўлов амалга оширилади.</w:t>
      </w:r>
    </w:p>
    <w:p w:rsidR="00A74168" w:rsidRPr="00701CF3" w:rsidRDefault="00A74168" w:rsidP="00A74168">
      <w:pPr>
        <w:jc w:val="both"/>
        <w:rPr>
          <w:sz w:val="24"/>
          <w:szCs w:val="24"/>
          <w:lang w:val="uz-Cyrl-UZ"/>
        </w:rPr>
      </w:pPr>
      <w:r w:rsidRPr="00701CF3">
        <w:rPr>
          <w:sz w:val="24"/>
          <w:szCs w:val="24"/>
          <w:lang w:val="uz-Cyrl-UZ"/>
        </w:rPr>
        <w:t xml:space="preserve">7. Ушбу шартнома имзо чекилган пайтдан бошлаб кучга киради ва ҳар иккала томон шартнома шартларини тўлиқ бажармагунча ўз кучини йўқотмайди. </w:t>
      </w:r>
    </w:p>
    <w:p w:rsidR="00A74168" w:rsidRPr="00701CF3" w:rsidRDefault="00A74168" w:rsidP="00A74168">
      <w:pPr>
        <w:jc w:val="both"/>
        <w:rPr>
          <w:sz w:val="24"/>
          <w:szCs w:val="24"/>
          <w:lang w:val="uz-Cyrl-UZ"/>
        </w:rPr>
      </w:pPr>
      <w:r w:rsidRPr="00701CF3">
        <w:rPr>
          <w:sz w:val="24"/>
          <w:szCs w:val="24"/>
          <w:lang w:val="uz-Cyrl-UZ"/>
        </w:rPr>
        <w:t>8. Ушбу шартнома ҳар иккала томон келишуви ва розилигида тузилади.</w:t>
      </w:r>
    </w:p>
    <w:p w:rsidR="00A74168" w:rsidRPr="00701CF3" w:rsidRDefault="00A74168" w:rsidP="00A74168">
      <w:pPr>
        <w:jc w:val="both"/>
        <w:rPr>
          <w:sz w:val="24"/>
          <w:szCs w:val="24"/>
          <w:lang w:val="uz-Cyrl-UZ"/>
        </w:rPr>
      </w:pPr>
      <w:r w:rsidRPr="00701CF3">
        <w:rPr>
          <w:sz w:val="24"/>
          <w:szCs w:val="24"/>
          <w:lang w:val="uz-Cyrl-UZ"/>
        </w:rPr>
        <w:t>9. Ушбу шартнома юзасидан келиб чиқадиган низо ва келишмовчиликлар конун хужжатларига белгиланган тартибда Узбекистон Республикасининг амалдаги конунлари асосида хамда Узбекистон Республикасининг «Хужалик юритувчи субъектлар фаолиятининг шартномавий хукукий баъзаси тугрисида»ги 29.08.98 йилги конунларига амал килган холда иқтисодий суди ёки ҳакамлик судлари томонидан кўриб чиқилиб ҳал қилинади.</w:t>
      </w:r>
    </w:p>
    <w:p w:rsidR="00A74168" w:rsidRPr="00701CF3" w:rsidRDefault="00A74168" w:rsidP="00A74168">
      <w:pPr>
        <w:jc w:val="both"/>
        <w:rPr>
          <w:sz w:val="24"/>
          <w:szCs w:val="24"/>
          <w:lang w:val="uz-Cyrl-UZ"/>
        </w:rPr>
      </w:pPr>
      <w:r w:rsidRPr="00701CF3">
        <w:rPr>
          <w:sz w:val="24"/>
          <w:szCs w:val="24"/>
          <w:lang w:val="uz-Cyrl-UZ"/>
        </w:rPr>
        <w:t>10. Шартнома муддатидан олдин бекор қилинса ва маҳсулот бериш тўхтатилса “Сотувчи” “Харидор”га олиб бўлган маҳсулотга қараб икки томонлама тузилган хисоб-фактурага асосан тўлов амалга оширилади. Ушбу шартнома ташкилот раҳбари томонидан тасдиқланиб муҳрланади.</w:t>
      </w:r>
    </w:p>
    <w:p w:rsidR="00A74168" w:rsidRPr="00701CF3" w:rsidRDefault="00A74168" w:rsidP="00A74168">
      <w:pPr>
        <w:jc w:val="both"/>
        <w:rPr>
          <w:sz w:val="24"/>
          <w:szCs w:val="24"/>
          <w:lang w:val="uz-Cyrl-UZ"/>
        </w:rPr>
      </w:pPr>
      <w:r w:rsidRPr="00701CF3">
        <w:rPr>
          <w:sz w:val="24"/>
          <w:szCs w:val="24"/>
          <w:lang w:val="uz-Cyrl-UZ"/>
        </w:rPr>
        <w:t>11. Шартнома 2 нусхада тузилган 1 нусхадан “Сотувчи” ва “Харидор”га тақдим этилади.</w:t>
      </w:r>
    </w:p>
    <w:p w:rsidR="00A74168" w:rsidRPr="00701CF3" w:rsidRDefault="00A74168" w:rsidP="00A74168">
      <w:pPr>
        <w:jc w:val="both"/>
        <w:rPr>
          <w:sz w:val="24"/>
          <w:szCs w:val="24"/>
          <w:lang w:val="uz-Cyrl-UZ"/>
        </w:rPr>
      </w:pPr>
      <w:r w:rsidRPr="00701CF3">
        <w:rPr>
          <w:sz w:val="24"/>
          <w:szCs w:val="24"/>
          <w:lang w:val="uz-Cyrl-UZ"/>
        </w:rPr>
        <w:t xml:space="preserve">12. Ушбу шартнома томонлар имзо чеккан кундан бошлаб кучга киради ва 20___ йилнинг «____» ___________ кунигача амал қилади.                               </w:t>
      </w:r>
    </w:p>
    <w:p w:rsidR="00A74168" w:rsidRPr="00701CF3" w:rsidRDefault="00A74168" w:rsidP="00A74168">
      <w:pPr>
        <w:tabs>
          <w:tab w:val="left" w:pos="3766"/>
        </w:tabs>
        <w:jc w:val="both"/>
        <w:rPr>
          <w:sz w:val="24"/>
          <w:szCs w:val="24"/>
          <w:lang w:val="uz-Cyrl-UZ"/>
        </w:rPr>
      </w:pPr>
      <w:r w:rsidRPr="00701CF3">
        <w:rPr>
          <w:sz w:val="24"/>
          <w:szCs w:val="24"/>
          <w:lang w:val="uz-Cyrl-UZ"/>
        </w:rPr>
        <w:t xml:space="preserve">                                      </w:t>
      </w:r>
    </w:p>
    <w:p w:rsidR="00A74168" w:rsidRPr="00701CF3" w:rsidRDefault="00A74168" w:rsidP="00A74168">
      <w:pPr>
        <w:tabs>
          <w:tab w:val="left" w:pos="3766"/>
        </w:tabs>
        <w:jc w:val="center"/>
        <w:rPr>
          <w:sz w:val="24"/>
          <w:szCs w:val="24"/>
          <w:lang w:val="uz-Cyrl-UZ"/>
        </w:rPr>
      </w:pPr>
      <w:r w:rsidRPr="00701CF3">
        <w:rPr>
          <w:b/>
          <w:sz w:val="24"/>
          <w:szCs w:val="24"/>
          <w:lang w:val="uz-Cyrl-UZ"/>
        </w:rPr>
        <w:t>ТОМОНЛАРНИНГ МАНЗИЛГОҲЛАРИ</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360"/>
        <w:gridCol w:w="4861"/>
      </w:tblGrid>
      <w:tr w:rsidR="00A74168" w:rsidRPr="00701CF3" w:rsidTr="00BD62DC">
        <w:trPr>
          <w:trHeight w:val="331"/>
        </w:trPr>
        <w:tc>
          <w:tcPr>
            <w:tcW w:w="4524" w:type="dxa"/>
          </w:tcPr>
          <w:p w:rsidR="00A74168" w:rsidRPr="00701CF3" w:rsidRDefault="00A74168" w:rsidP="00BD62DC">
            <w:pPr>
              <w:jc w:val="center"/>
              <w:rPr>
                <w:b/>
                <w:sz w:val="24"/>
                <w:szCs w:val="24"/>
                <w:lang w:val="uz-Cyrl-UZ"/>
              </w:rPr>
            </w:pPr>
            <w:r w:rsidRPr="00701CF3">
              <w:rPr>
                <w:b/>
                <w:sz w:val="24"/>
                <w:szCs w:val="24"/>
                <w:lang w:val="uz-Cyrl-UZ"/>
              </w:rPr>
              <w:t>“Сотувчи”</w:t>
            </w:r>
          </w:p>
        </w:tc>
        <w:tc>
          <w:tcPr>
            <w:tcW w:w="360" w:type="dxa"/>
          </w:tcPr>
          <w:p w:rsidR="00A74168" w:rsidRPr="00701CF3" w:rsidRDefault="00A74168" w:rsidP="00BD62DC">
            <w:pPr>
              <w:rPr>
                <w:b/>
                <w:sz w:val="24"/>
                <w:szCs w:val="24"/>
                <w:lang w:val="uz-Cyrl-UZ"/>
              </w:rPr>
            </w:pPr>
          </w:p>
        </w:tc>
        <w:tc>
          <w:tcPr>
            <w:tcW w:w="4861" w:type="dxa"/>
          </w:tcPr>
          <w:p w:rsidR="00A74168" w:rsidRPr="00701CF3" w:rsidRDefault="00A74168" w:rsidP="00BD62DC">
            <w:pPr>
              <w:jc w:val="center"/>
              <w:rPr>
                <w:b/>
                <w:sz w:val="24"/>
                <w:szCs w:val="24"/>
                <w:lang w:val="uz-Cyrl-UZ"/>
              </w:rPr>
            </w:pPr>
            <w:r w:rsidRPr="00701CF3">
              <w:rPr>
                <w:b/>
                <w:sz w:val="24"/>
                <w:szCs w:val="24"/>
                <w:lang w:val="uz-Cyrl-UZ"/>
              </w:rPr>
              <w:t xml:space="preserve">                    “Харидор”</w:t>
            </w:r>
          </w:p>
        </w:tc>
      </w:tr>
      <w:tr w:rsidR="00A74168" w:rsidRPr="00701CF3" w:rsidTr="00BD62DC">
        <w:trPr>
          <w:trHeight w:val="359"/>
        </w:trPr>
        <w:tc>
          <w:tcPr>
            <w:tcW w:w="4524" w:type="dxa"/>
          </w:tcPr>
          <w:p w:rsidR="00A74168" w:rsidRPr="00701CF3" w:rsidRDefault="00A74168" w:rsidP="00BD62DC">
            <w:pPr>
              <w:autoSpaceDE w:val="0"/>
              <w:autoSpaceDN w:val="0"/>
              <w:adjustRightInd w:val="0"/>
              <w:rPr>
                <w:b/>
                <w:sz w:val="24"/>
                <w:szCs w:val="24"/>
                <w:lang w:val="uz-Cyrl-UZ"/>
              </w:rPr>
            </w:pPr>
          </w:p>
        </w:tc>
        <w:tc>
          <w:tcPr>
            <w:tcW w:w="360" w:type="dxa"/>
          </w:tcPr>
          <w:p w:rsidR="00A74168" w:rsidRPr="00701CF3" w:rsidRDefault="00A74168" w:rsidP="00BD62DC">
            <w:pPr>
              <w:rPr>
                <w:sz w:val="24"/>
                <w:szCs w:val="24"/>
                <w:lang w:val="uz-Cyrl-UZ"/>
              </w:rPr>
            </w:pPr>
          </w:p>
        </w:tc>
        <w:tc>
          <w:tcPr>
            <w:tcW w:w="4861" w:type="dxa"/>
          </w:tcPr>
          <w:p w:rsidR="00A74168" w:rsidRPr="00701CF3" w:rsidRDefault="00A74168" w:rsidP="00BD62DC">
            <w:pPr>
              <w:autoSpaceDE w:val="0"/>
              <w:autoSpaceDN w:val="0"/>
              <w:adjustRightInd w:val="0"/>
              <w:rPr>
                <w:b/>
                <w:sz w:val="24"/>
                <w:szCs w:val="24"/>
                <w:lang w:val="uz-Cyrl-UZ"/>
              </w:rPr>
            </w:pPr>
          </w:p>
        </w:tc>
      </w:tr>
      <w:tr w:rsidR="00A74168" w:rsidRPr="00701CF3" w:rsidTr="00BD62DC">
        <w:tc>
          <w:tcPr>
            <w:tcW w:w="4524" w:type="dxa"/>
          </w:tcPr>
          <w:p w:rsidR="00A74168" w:rsidRPr="00701CF3" w:rsidRDefault="00A74168" w:rsidP="00BD62DC">
            <w:pPr>
              <w:pStyle w:val="a3"/>
              <w:rPr>
                <w:sz w:val="24"/>
                <w:szCs w:val="24"/>
                <w:highlight w:val="yellow"/>
                <w:lang w:val="uz-Cyrl-UZ"/>
              </w:rPr>
            </w:pPr>
          </w:p>
        </w:tc>
        <w:tc>
          <w:tcPr>
            <w:tcW w:w="360" w:type="dxa"/>
          </w:tcPr>
          <w:p w:rsidR="00A74168" w:rsidRPr="00701CF3" w:rsidRDefault="00A74168" w:rsidP="00BD62DC">
            <w:pPr>
              <w:rPr>
                <w:sz w:val="24"/>
                <w:szCs w:val="24"/>
              </w:rPr>
            </w:pPr>
          </w:p>
        </w:tc>
        <w:tc>
          <w:tcPr>
            <w:tcW w:w="4861" w:type="dxa"/>
          </w:tcPr>
          <w:p w:rsidR="00A74168" w:rsidRPr="00701CF3" w:rsidRDefault="00A74168" w:rsidP="00BD62DC">
            <w:pPr>
              <w:autoSpaceDE w:val="0"/>
              <w:autoSpaceDN w:val="0"/>
              <w:adjustRightInd w:val="0"/>
              <w:rPr>
                <w:sz w:val="24"/>
                <w:szCs w:val="24"/>
                <w:highlight w:val="yellow"/>
                <w:lang w:val="uz-Cyrl-UZ"/>
              </w:rPr>
            </w:pPr>
          </w:p>
        </w:tc>
      </w:tr>
      <w:tr w:rsidR="00A74168" w:rsidRPr="00701CF3" w:rsidTr="00BD62DC">
        <w:trPr>
          <w:trHeight w:val="1174"/>
        </w:trPr>
        <w:tc>
          <w:tcPr>
            <w:tcW w:w="4524" w:type="dxa"/>
          </w:tcPr>
          <w:p w:rsidR="00A74168" w:rsidRPr="00701CF3" w:rsidRDefault="00A74168" w:rsidP="00BD62DC">
            <w:pPr>
              <w:pStyle w:val="a3"/>
              <w:rPr>
                <w:sz w:val="24"/>
                <w:szCs w:val="24"/>
                <w:highlight w:val="yellow"/>
              </w:rPr>
            </w:pPr>
          </w:p>
        </w:tc>
        <w:tc>
          <w:tcPr>
            <w:tcW w:w="360" w:type="dxa"/>
          </w:tcPr>
          <w:p w:rsidR="00A74168" w:rsidRPr="00701CF3" w:rsidRDefault="00A74168" w:rsidP="00BD62DC">
            <w:pPr>
              <w:rPr>
                <w:sz w:val="24"/>
                <w:szCs w:val="24"/>
              </w:rPr>
            </w:pPr>
          </w:p>
        </w:tc>
        <w:tc>
          <w:tcPr>
            <w:tcW w:w="4861" w:type="dxa"/>
          </w:tcPr>
          <w:p w:rsidR="00A74168" w:rsidRPr="00701CF3" w:rsidRDefault="00A74168" w:rsidP="00BD62DC">
            <w:pPr>
              <w:pStyle w:val="a3"/>
              <w:rPr>
                <w:sz w:val="24"/>
                <w:szCs w:val="24"/>
                <w:highlight w:val="yellow"/>
              </w:rPr>
            </w:pPr>
          </w:p>
        </w:tc>
      </w:tr>
      <w:tr w:rsidR="00A74168" w:rsidRPr="00701CF3" w:rsidTr="00BD62DC">
        <w:trPr>
          <w:trHeight w:val="73"/>
        </w:trPr>
        <w:tc>
          <w:tcPr>
            <w:tcW w:w="4524" w:type="dxa"/>
            <w:vAlign w:val="bottom"/>
          </w:tcPr>
          <w:p w:rsidR="00A74168" w:rsidRPr="00701CF3" w:rsidRDefault="00A74168" w:rsidP="00BD62DC">
            <w:pPr>
              <w:rPr>
                <w:b/>
                <w:sz w:val="24"/>
                <w:szCs w:val="24"/>
              </w:rPr>
            </w:pPr>
          </w:p>
        </w:tc>
        <w:tc>
          <w:tcPr>
            <w:tcW w:w="360" w:type="dxa"/>
            <w:vAlign w:val="center"/>
          </w:tcPr>
          <w:p w:rsidR="00A74168" w:rsidRPr="00701CF3" w:rsidRDefault="00A74168" w:rsidP="00BD62DC">
            <w:pPr>
              <w:jc w:val="center"/>
              <w:rPr>
                <w:b/>
                <w:sz w:val="24"/>
                <w:szCs w:val="24"/>
              </w:rPr>
            </w:pPr>
          </w:p>
        </w:tc>
        <w:tc>
          <w:tcPr>
            <w:tcW w:w="4861" w:type="dxa"/>
            <w:vAlign w:val="bottom"/>
          </w:tcPr>
          <w:p w:rsidR="00A74168" w:rsidRPr="00701CF3" w:rsidRDefault="00A74168" w:rsidP="00BD62DC">
            <w:pPr>
              <w:rPr>
                <w:b/>
                <w:sz w:val="24"/>
                <w:szCs w:val="24"/>
              </w:rPr>
            </w:pPr>
          </w:p>
        </w:tc>
      </w:tr>
    </w:tbl>
    <w:p w:rsidR="00A74168" w:rsidRDefault="00A74168" w:rsidP="00A74168">
      <w:pPr>
        <w:jc w:val="center"/>
        <w:rPr>
          <w:b/>
          <w:sz w:val="23"/>
          <w:szCs w:val="23"/>
          <w:lang w:val="uz-Cyrl-UZ"/>
        </w:rPr>
      </w:pPr>
    </w:p>
    <w:p w:rsidR="00A74168" w:rsidRDefault="00A74168" w:rsidP="00A74168">
      <w:pPr>
        <w:jc w:val="center"/>
        <w:rPr>
          <w:b/>
          <w:sz w:val="23"/>
          <w:szCs w:val="23"/>
          <w:lang w:val="uz-Cyrl-UZ"/>
        </w:rPr>
      </w:pPr>
    </w:p>
    <w:p w:rsidR="002C35C4" w:rsidRDefault="002C35C4">
      <w:bookmarkStart w:id="0" w:name="_GoBack"/>
      <w:bookmarkEnd w:id="0"/>
    </w:p>
    <w:sectPr w:rsidR="002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D8"/>
    <w:rsid w:val="002C35C4"/>
    <w:rsid w:val="00A74168"/>
    <w:rsid w:val="00DE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168"/>
    <w:rPr>
      <w:sz w:val="22"/>
    </w:rPr>
  </w:style>
  <w:style w:type="character" w:customStyle="1" w:styleId="a4">
    <w:name w:val="Основной текст Знак"/>
    <w:basedOn w:val="a0"/>
    <w:link w:val="a3"/>
    <w:rsid w:val="00A74168"/>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168"/>
    <w:rPr>
      <w:sz w:val="22"/>
    </w:rPr>
  </w:style>
  <w:style w:type="character" w:customStyle="1" w:styleId="a4">
    <w:name w:val="Основной текст Знак"/>
    <w:basedOn w:val="a0"/>
    <w:link w:val="a3"/>
    <w:rsid w:val="00A74168"/>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2022-07-29T13:12:00Z</dcterms:created>
  <dcterms:modified xsi:type="dcterms:W3CDTF">2022-07-29T13:12:00Z</dcterms:modified>
</cp:coreProperties>
</file>