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FFFFF"/>
        <w:tblCellMar>
          <w:left w:w="0" w:type="dxa"/>
          <w:right w:w="0" w:type="dxa"/>
        </w:tblCellMar>
        <w:tblLook w:val="04A0"/>
      </w:tblPr>
      <w:tblGrid>
        <w:gridCol w:w="1307"/>
        <w:gridCol w:w="45"/>
        <w:gridCol w:w="122"/>
        <w:gridCol w:w="150"/>
        <w:gridCol w:w="147"/>
        <w:gridCol w:w="145"/>
        <w:gridCol w:w="127"/>
        <w:gridCol w:w="126"/>
        <w:gridCol w:w="125"/>
        <w:gridCol w:w="124"/>
        <w:gridCol w:w="122"/>
        <w:gridCol w:w="121"/>
        <w:gridCol w:w="45"/>
        <w:gridCol w:w="1294"/>
        <w:gridCol w:w="45"/>
        <w:gridCol w:w="68"/>
        <w:gridCol w:w="104"/>
        <w:gridCol w:w="104"/>
        <w:gridCol w:w="104"/>
        <w:gridCol w:w="63"/>
        <w:gridCol w:w="63"/>
        <w:gridCol w:w="63"/>
        <w:gridCol w:w="63"/>
        <w:gridCol w:w="829"/>
        <w:gridCol w:w="63"/>
        <w:gridCol w:w="63"/>
        <w:gridCol w:w="63"/>
        <w:gridCol w:w="63"/>
        <w:gridCol w:w="79"/>
        <w:gridCol w:w="76"/>
        <w:gridCol w:w="76"/>
        <w:gridCol w:w="76"/>
        <w:gridCol w:w="1287"/>
        <w:gridCol w:w="1242"/>
        <w:gridCol w:w="76"/>
        <w:gridCol w:w="76"/>
        <w:gridCol w:w="45"/>
        <w:gridCol w:w="1176"/>
      </w:tblGrid>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ШАРТНОМА ЛОЙИҲАСИ</w:t>
            </w:r>
            <w:r>
              <w:rPr>
                <w:b/>
                <w:bCs/>
                <w:color w:val="000000"/>
                <w:sz w:val="20"/>
                <w:szCs w:val="20"/>
              </w:rPr>
              <w:br/>
            </w:r>
            <w:r>
              <w:rPr>
                <w:rStyle w:val="a3"/>
                <w:color w:val="000000"/>
                <w:sz w:val="20"/>
                <w:szCs w:val="20"/>
              </w:rPr>
              <w:t>(НАМУНАВИЙ ПУДРАТ ШАРТНОМАСИ)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Пудрат шартномаси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_____-сон</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right"/>
              <w:rPr>
                <w:color w:val="000000"/>
                <w:sz w:val="24"/>
                <w:szCs w:val="24"/>
              </w:rPr>
            </w:pPr>
            <w:r>
              <w:rPr>
                <w:color w:val="000000"/>
                <w:sz w:val="20"/>
                <w:szCs w:val="20"/>
              </w:rPr>
              <w:t>20___ йил «____» ____________</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Кейинги ўринларда «Буюртмачи» деб юритиладиган _________________________________________________________</w:t>
            </w:r>
            <w:r>
              <w:rPr>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9A7E7B">
            <w:pPr>
              <w:jc w:val="center"/>
              <w:rPr>
                <w:color w:val="000000"/>
                <w:sz w:val="24"/>
                <w:szCs w:val="24"/>
              </w:rPr>
            </w:pPr>
            <w:r>
              <w:rPr>
                <w:rStyle w:val="a3"/>
                <w:color w:val="000000"/>
                <w:sz w:val="20"/>
                <w:szCs w:val="20"/>
              </w:rPr>
              <w:t>1. Таърифлар</w:t>
            </w:r>
            <w:r>
              <w:rPr>
                <w:b/>
                <w:bCs/>
                <w:color w:val="000000"/>
                <w:sz w:val="20"/>
                <w:szCs w:val="20"/>
              </w:rPr>
              <w:br/>
            </w:r>
            <w:r>
              <w:rPr>
                <w:rStyle w:val="a3"/>
                <w:color w:val="000000"/>
                <w:sz w:val="20"/>
                <w:szCs w:val="20"/>
              </w:rPr>
              <w:t>1. Мазкур шартномада тарифлар кулланилади: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proofErr w:type="gramStart"/>
            <w:r>
              <w:rPr>
                <w:rStyle w:val="a3"/>
                <w:color w:val="000000"/>
                <w:sz w:val="20"/>
                <w:szCs w:val="20"/>
              </w:rPr>
              <w:t>«ижро ҳужжатлари»:</w:t>
            </w:r>
            <w:r>
              <w:rPr>
                <w:color w:val="000000"/>
                <w:sz w:val="20"/>
                <w:szCs w:val="20"/>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w:t>
            </w:r>
            <w:proofErr w:type="gramEnd"/>
            <w:r>
              <w:rPr>
                <w:color w:val="000000"/>
                <w:sz w:val="20"/>
                <w:szCs w:val="20"/>
              </w:rPr>
              <w:t xml:space="preserve">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Pr>
                <w:color w:val="000000"/>
                <w:sz w:val="20"/>
                <w:szCs w:val="20"/>
              </w:rPr>
              <w:t>бош</w:t>
            </w:r>
            <w:proofErr w:type="gramEnd"/>
            <w:r>
              <w:rPr>
                <w:color w:val="000000"/>
                <w:sz w:val="20"/>
                <w:szCs w:val="20"/>
              </w:rPr>
              <w:t>қа ҳужжатлар:</w:t>
            </w:r>
            <w:r>
              <w:rPr>
                <w:color w:val="000000"/>
                <w:sz w:val="20"/>
                <w:szCs w:val="20"/>
              </w:rPr>
              <w:br/>
            </w:r>
            <w:r>
              <w:rPr>
                <w:rStyle w:val="a3"/>
                <w:color w:val="000000"/>
                <w:sz w:val="20"/>
                <w:szCs w:val="20"/>
              </w:rPr>
              <w:t>«қурилиш майдони»:</w:t>
            </w:r>
            <w:r>
              <w:rPr>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Pr>
                <w:color w:val="000000"/>
                <w:sz w:val="20"/>
                <w:szCs w:val="20"/>
              </w:rPr>
              <w:t>бош</w:t>
            </w:r>
            <w:proofErr w:type="gramEnd"/>
            <w:r>
              <w:rPr>
                <w:color w:val="000000"/>
                <w:sz w:val="20"/>
                <w:szCs w:val="20"/>
              </w:rPr>
              <w:t>қа белгилар билан белгилаб қўйилади.</w:t>
            </w:r>
            <w:r>
              <w:rPr>
                <w:color w:val="000000"/>
                <w:sz w:val="20"/>
                <w:szCs w:val="20"/>
              </w:rPr>
              <w:br/>
            </w:r>
            <w:r>
              <w:rPr>
                <w:rStyle w:val="a3"/>
                <w:color w:val="000000"/>
                <w:sz w:val="20"/>
                <w:szCs w:val="20"/>
              </w:rPr>
              <w:t>«вақтинчалик ишлар»:</w:t>
            </w:r>
            <w:r>
              <w:rPr>
                <w:color w:val="000000"/>
                <w:sz w:val="20"/>
                <w:szCs w:val="20"/>
              </w:rPr>
              <w:t xml:space="preserve"> </w:t>
            </w:r>
            <w:proofErr w:type="gramStart"/>
            <w:r>
              <w:rPr>
                <w:color w:val="000000"/>
                <w:sz w:val="20"/>
                <w:szCs w:val="20"/>
              </w:rPr>
              <w:t>Пудратчи томонидан қурилиш майдонида ўрнатиладиган ва ишлар бажариш учун зарур зарур бўлган ҳар типдаги вақтинчалик бинолар ва иншоотлар.</w:t>
            </w:r>
            <w:r>
              <w:rPr>
                <w:color w:val="000000"/>
                <w:sz w:val="20"/>
                <w:szCs w:val="20"/>
              </w:rPr>
              <w:br/>
            </w:r>
            <w:r>
              <w:rPr>
                <w:rStyle w:val="a3"/>
                <w:color w:val="000000"/>
                <w:sz w:val="20"/>
                <w:szCs w:val="20"/>
              </w:rPr>
              <w:t>«беркитилган ишлар»:</w:t>
            </w:r>
            <w:r>
              <w:rPr>
                <w:color w:val="000000"/>
                <w:sz w:val="20"/>
                <w:szCs w:val="20"/>
              </w:rPr>
              <w:t xml:space="preserve">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Pr>
                <w:color w:val="000000"/>
                <w:sz w:val="20"/>
                <w:szCs w:val="20"/>
              </w:rPr>
              <w:br/>
            </w:r>
            <w:r>
              <w:rPr>
                <w:rStyle w:val="a3"/>
                <w:color w:val="000000"/>
                <w:sz w:val="20"/>
                <w:szCs w:val="20"/>
              </w:rPr>
              <w:t>шартномани нархини бўлиб чиқиш:</w:t>
            </w:r>
            <w:r>
              <w:rPr>
                <w:color w:val="000000"/>
                <w:sz w:val="20"/>
                <w:szCs w:val="20"/>
              </w:rPr>
              <w:t xml:space="preserve"> ишларнинг ҳар бир босқичи ёки турлари қийматининг аниқ белгиланган ҳолда шартнома</w:t>
            </w:r>
            <w:proofErr w:type="gramEnd"/>
            <w:r>
              <w:rPr>
                <w:color w:val="000000"/>
                <w:sz w:val="20"/>
                <w:szCs w:val="20"/>
              </w:rPr>
              <w:t xml:space="preserve"> бўйича объектни умумий қийматини </w:t>
            </w:r>
            <w:proofErr w:type="gramStart"/>
            <w:r>
              <w:rPr>
                <w:color w:val="000000"/>
                <w:sz w:val="20"/>
                <w:szCs w:val="20"/>
              </w:rPr>
              <w:t>бос</w:t>
            </w:r>
            <w:proofErr w:type="gramEnd"/>
            <w:r>
              <w:rPr>
                <w:color w:val="000000"/>
                <w:sz w:val="20"/>
                <w:szCs w:val="20"/>
              </w:rPr>
              <w:t>қичларга тақсимлаш.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II. Шартнома мавзуси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2. Пудратчи мазкур шартнома шартларига мувофиқ __________________________________________________________</w:t>
            </w:r>
            <w:r>
              <w:rPr>
                <w:color w:val="000000"/>
                <w:sz w:val="20"/>
                <w:szCs w:val="20"/>
              </w:rPr>
              <w:br/>
              <w:t xml:space="preserve">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Pr>
                <w:color w:val="000000"/>
                <w:sz w:val="20"/>
                <w:szCs w:val="20"/>
              </w:rPr>
              <w:t>ва т</w:t>
            </w:r>
            <w:proofErr w:type="gramEnd"/>
            <w:r>
              <w:rPr>
                <w:color w:val="000000"/>
                <w:sz w:val="20"/>
                <w:szCs w:val="20"/>
              </w:rPr>
              <w:t>ўловни амалга ошириш мажбуриятини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III. Шартнома бўйича ишлар қиймати.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 xml:space="preserve">3. </w:t>
            </w:r>
            <w:proofErr w:type="gramStart"/>
            <w:r>
              <w:rPr>
                <w:color w:val="000000"/>
                <w:sz w:val="20"/>
                <w:szCs w:val="20"/>
              </w:rPr>
              <w:t>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Pr>
                <w:color w:val="000000"/>
                <w:sz w:val="20"/>
                <w:szCs w:val="20"/>
              </w:rPr>
              <w:br/>
              <w:t>(__________________________________________________________________) сўмни ташкил этади.</w:t>
            </w:r>
            <w:r>
              <w:rPr>
                <w:color w:val="000000"/>
                <w:sz w:val="20"/>
                <w:szCs w:val="20"/>
              </w:rPr>
              <w:br/>
              <w:t>қурилиш қиймати ва кўпайтиришга енгиб бўлмайдиган куч (форс-мажор) ҳолати сабаб бўлганда;</w:t>
            </w:r>
            <w:proofErr w:type="gramEnd"/>
            <w:r>
              <w:rPr>
                <w:color w:val="000000"/>
                <w:sz w:val="20"/>
                <w:szCs w:val="20"/>
              </w:rPr>
              <w:br/>
            </w:r>
            <w:r>
              <w:rPr>
                <w:color w:val="000000"/>
                <w:sz w:val="20"/>
                <w:szCs w:val="20"/>
              </w:rPr>
              <w:lastRenderedPageBreak/>
              <w:t>ишлар ҳажми буюртмачи томонидан ўзгартирилганда;</w:t>
            </w:r>
            <w:r>
              <w:rPr>
                <w:color w:val="000000"/>
                <w:sz w:val="20"/>
                <w:szCs w:val="20"/>
              </w:rPr>
              <w:br/>
              <w:t xml:space="preserve">объектнинг қурилиши бир йилдан </w:t>
            </w:r>
            <w:proofErr w:type="gramStart"/>
            <w:r>
              <w:rPr>
                <w:color w:val="000000"/>
                <w:sz w:val="20"/>
                <w:szCs w:val="20"/>
              </w:rPr>
              <w:t>орти</w:t>
            </w:r>
            <w:proofErr w:type="gramEnd"/>
            <w:r>
              <w:rPr>
                <w:color w:val="000000"/>
                <w:sz w:val="20"/>
                <w:szCs w:val="20"/>
              </w:rPr>
              <w:t>ққа ўзгартирилганда.</w:t>
            </w:r>
            <w:r>
              <w:rPr>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Pr>
                <w:color w:val="000000"/>
                <w:sz w:val="20"/>
                <w:szCs w:val="20"/>
              </w:rPr>
              <w:br/>
              <w:t>6 Тегишли асослар мавжуд бўлганда ўзгаришлар Буюртмачи билан Пудратчи ўртасидаги шартномага қўшимча битим билан расмийлаштирилади.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IV. Пудратчининг мажбуриятлари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7. Мазкур шартнома бўйича Пудратчи мазкур шартноманинг 2-бўлимида назарда тутилган ишларни бажариш учун:</w:t>
            </w:r>
            <w:r>
              <w:rPr>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Pr>
                <w:color w:val="000000"/>
                <w:sz w:val="20"/>
                <w:szCs w:val="20"/>
              </w:rPr>
              <w:br/>
              <w:t xml:space="preserve">— «____» </w:t>
            </w:r>
            <w:proofErr w:type="gramStart"/>
            <w:r>
              <w:rPr>
                <w:color w:val="000000"/>
                <w:sz w:val="20"/>
                <w:szCs w:val="20"/>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Pr>
                <w:color w:val="000000"/>
                <w:sz w:val="20"/>
                <w:szCs w:val="20"/>
              </w:rPr>
              <w:br/>
              <w:t>— қурилиш майдони ҳудудида вақтинчалик иншоотлар қуриш;</w:t>
            </w:r>
            <w:r>
              <w:rPr>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roofErr w:type="gramEnd"/>
            <w:r>
              <w:rPr>
                <w:color w:val="000000"/>
                <w:sz w:val="20"/>
                <w:szCs w:val="20"/>
              </w:rPr>
              <w:br/>
              <w:t>— қурилиш таваккалчилигини суғурта қилиш.</w:t>
            </w:r>
            <w:r>
              <w:rPr>
                <w:color w:val="000000"/>
                <w:sz w:val="20"/>
                <w:szCs w:val="20"/>
              </w:rPr>
              <w:b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Pr>
                <w:color w:val="000000"/>
                <w:sz w:val="20"/>
                <w:szCs w:val="20"/>
              </w:rPr>
              <w:br/>
              <w:t>қурилиш майдонини қўриқланишини таъминлаш;</w:t>
            </w:r>
            <w:r>
              <w:rPr>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Pr>
                <w:color w:val="000000"/>
                <w:sz w:val="20"/>
                <w:szCs w:val="20"/>
              </w:rPr>
              <w:br/>
              <w:t>Мазкур шартномада назарда тутилган барча мажбуриятларни тўлиқ ҳажмда бажаришни ўз зиммасига олади.</w:t>
            </w:r>
            <w:r>
              <w:rPr>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w:t>
            </w:r>
            <w:proofErr w:type="gramStart"/>
            <w:r>
              <w:rPr>
                <w:color w:val="000000"/>
                <w:sz w:val="20"/>
                <w:szCs w:val="20"/>
              </w:rPr>
              <w:t>п</w:t>
            </w:r>
            <w:proofErr w:type="gramEnd"/>
            <w:r>
              <w:rPr>
                <w:color w:val="000000"/>
                <w:sz w:val="20"/>
                <w:szCs w:val="20"/>
              </w:rPr>
              <w:t xml:space="preserve"> бўлмаган) зарур тарзда бажарилиши ҳамда объектнинг фойдаланишга топширилиши учун Буюртмачи олдида тўлиқ мулкий жавоб беради.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 Буюртмачининг мажбуриятлари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9. Мазкур шартномани бажариш учун буюртмачи:</w:t>
            </w:r>
            <w:r>
              <w:rPr>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Pr>
                <w:color w:val="000000"/>
                <w:sz w:val="20"/>
                <w:szCs w:val="20"/>
              </w:rPr>
              <w:b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Pr>
                <w:color w:val="000000"/>
                <w:sz w:val="20"/>
                <w:szCs w:val="20"/>
              </w:rPr>
              <w:t>бош</w:t>
            </w:r>
            <w:proofErr w:type="gramEnd"/>
            <w:r>
              <w:rPr>
                <w:color w:val="000000"/>
                <w:sz w:val="20"/>
                <w:szCs w:val="20"/>
              </w:rPr>
              <w:t>қа функцияларга риоя этилишини назорат қилиш, Пудратчидан тугалланган ишларни қабул қилиб олишни таъминлаш;</w:t>
            </w:r>
            <w:r>
              <w:rPr>
                <w:color w:val="000000"/>
                <w:sz w:val="20"/>
                <w:szCs w:val="20"/>
              </w:rPr>
              <w:br/>
              <w:t>— молиялаштириш жадвалига биноан пудратчига 3 иловага мувофиқ аванс бериш ва жорий молиялаштиришни амалга ошириш;</w:t>
            </w:r>
            <w:r>
              <w:rPr>
                <w:color w:val="000000"/>
                <w:sz w:val="20"/>
                <w:szCs w:val="20"/>
              </w:rPr>
              <w:br/>
              <w:t xml:space="preserve">— мазкур шартнома имзоланган кундан бошлаб, бир ой давомида пудратчига пудрат ишларини қабул қилиш учун зарур бўлган ижро ҳужжатлари </w:t>
            </w:r>
            <w:proofErr w:type="gramStart"/>
            <w:r>
              <w:rPr>
                <w:color w:val="000000"/>
                <w:sz w:val="20"/>
                <w:szCs w:val="20"/>
              </w:rPr>
              <w:t>р</w:t>
            </w:r>
            <w:proofErr w:type="gramEnd"/>
            <w:r>
              <w:rPr>
                <w:color w:val="000000"/>
                <w:sz w:val="20"/>
                <w:szCs w:val="20"/>
              </w:rPr>
              <w:t>ўйхатини тақдим этиш;</w:t>
            </w:r>
            <w:r>
              <w:rPr>
                <w:color w:val="000000"/>
                <w:sz w:val="20"/>
                <w:szCs w:val="20"/>
              </w:rPr>
              <w:br/>
              <w:t>— мазкур шартномада назарда тутилган мажбурия?ларни тўлиқ ҳажмда бажариш мажбуриятини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VI. Ишларни бажариш муддати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10. Шартнома миллий валюта (сўмда) ўзаро ҳисоб-китоб қилинганда томонлар учун имзоланган пайтдан бошлаб:</w:t>
            </w:r>
            <w:r>
              <w:rPr>
                <w:color w:val="000000"/>
                <w:sz w:val="20"/>
                <w:szCs w:val="20"/>
              </w:rPr>
              <w:br/>
              <w:t xml:space="preserve">кейинчалик ЭАВ га конвертация қилган ҳолда миллий валютада (сўмда) ўзаро ҳисоб-китоб қилинганда шартнома қонун ҳужжатларга мувофиқ </w:t>
            </w:r>
            <w:proofErr w:type="gramStart"/>
            <w:r>
              <w:rPr>
                <w:color w:val="000000"/>
                <w:sz w:val="20"/>
                <w:szCs w:val="20"/>
              </w:rPr>
              <w:t>р</w:t>
            </w:r>
            <w:proofErr w:type="gramEnd"/>
            <w:r>
              <w:rPr>
                <w:color w:val="000000"/>
                <w:sz w:val="20"/>
                <w:szCs w:val="20"/>
              </w:rPr>
              <w:t>ўйхатдан ўтказилгандан кейин кучга киради:</w:t>
            </w:r>
            <w:r>
              <w:rPr>
                <w:color w:val="000000"/>
                <w:sz w:val="20"/>
                <w:szCs w:val="20"/>
              </w:rPr>
              <w:br/>
              <w:t xml:space="preserve">11. Пудратчи мазкур шартномага илова қилинадиган молиялаштириш жадвалига мувофиқ, биринчи аванс тўлови </w:t>
            </w:r>
            <w:r>
              <w:rPr>
                <w:color w:val="000000"/>
                <w:sz w:val="20"/>
                <w:szCs w:val="20"/>
              </w:rPr>
              <w:lastRenderedPageBreak/>
              <w:t>тушган кундан бошлаб ишларни бажаришга киришади.</w:t>
            </w:r>
            <w:r>
              <w:rPr>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Pr>
                <w:color w:val="000000"/>
                <w:sz w:val="20"/>
                <w:szCs w:val="20"/>
              </w:rPr>
              <w:br/>
              <w:t>13. Мазкур шартнома бўйича ишлар, ишларни бажариш жадвалига мувофиқ амалга оширилади.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VII. Тўловлар ва ҳисоб-китоблар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14. Буюртмачи Пудратчига шартнома бўйича ишлар умумий қийматининг ___% миқдорида, аванс ўтказади, бу ______</w:t>
            </w:r>
            <w:r>
              <w:rPr>
                <w:color w:val="000000"/>
                <w:sz w:val="20"/>
                <w:szCs w:val="20"/>
              </w:rPr>
              <w:br/>
              <w:t>_______________________________________________________________________________________________________</w:t>
            </w:r>
            <w:r>
              <w:rPr>
                <w:color w:val="000000"/>
                <w:sz w:val="20"/>
                <w:szCs w:val="20"/>
              </w:rPr>
              <w:br/>
              <w:t xml:space="preserve">(_____________________________________________________________) </w:t>
            </w:r>
            <w:proofErr w:type="gramStart"/>
            <w:r>
              <w:rPr>
                <w:color w:val="000000"/>
                <w:sz w:val="20"/>
                <w:szCs w:val="20"/>
              </w:rPr>
              <w:t>с</w:t>
            </w:r>
            <w:proofErr w:type="gramEnd"/>
            <w:r>
              <w:rPr>
                <w:color w:val="000000"/>
                <w:sz w:val="20"/>
                <w:szCs w:val="20"/>
              </w:rPr>
              <w:t>ўмни ташкил этади.</w:t>
            </w:r>
            <w:r>
              <w:rPr>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Pr>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Pr>
                <w:color w:val="000000"/>
                <w:sz w:val="20"/>
                <w:szCs w:val="20"/>
              </w:rPr>
              <w:b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Pr>
                <w:color w:val="000000"/>
                <w:sz w:val="20"/>
                <w:szCs w:val="20"/>
              </w:rPr>
              <w:br/>
              <w:t>18. Пудратчи объект фойдаланишга топширилгунга қадар мазкур шартнома бўйича мулк ҳуқ</w:t>
            </w:r>
            <w:proofErr w:type="gramStart"/>
            <w:r>
              <w:rPr>
                <w:color w:val="000000"/>
                <w:sz w:val="20"/>
                <w:szCs w:val="20"/>
              </w:rPr>
              <w:t>у</w:t>
            </w:r>
            <w:proofErr w:type="gramEnd"/>
            <w:r>
              <w:rPr>
                <w:color w:val="000000"/>
                <w:sz w:val="20"/>
                <w:szCs w:val="20"/>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Pr>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Pr>
                <w:color w:val="000000"/>
                <w:sz w:val="20"/>
                <w:szCs w:val="20"/>
              </w:rPr>
              <w:t>у</w:t>
            </w:r>
            <w:proofErr w:type="gramEnd"/>
            <w:r>
              <w:rPr>
                <w:color w:val="000000"/>
                <w:sz w:val="20"/>
                <w:szCs w:val="20"/>
              </w:rPr>
              <w:t xml:space="preserve">қига эгадир. Бундан Буюртмачи пудратчи томонидан бажарилган ишлар </w:t>
            </w:r>
            <w:proofErr w:type="gramStart"/>
            <w:r>
              <w:rPr>
                <w:color w:val="000000"/>
                <w:sz w:val="20"/>
                <w:szCs w:val="20"/>
              </w:rPr>
              <w:t>учун</w:t>
            </w:r>
            <w:proofErr w:type="gramEnd"/>
            <w:r>
              <w:rPr>
                <w:color w:val="000000"/>
                <w:sz w:val="20"/>
                <w:szCs w:val="20"/>
              </w:rPr>
              <w:t xml:space="preserve"> ҳақ тўлашдан озод қилинмайди.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VIII. Ишларни бажариш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Pr>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w:t>
            </w:r>
            <w:proofErr w:type="gramStart"/>
            <w:r>
              <w:rPr>
                <w:color w:val="000000"/>
                <w:sz w:val="20"/>
                <w:szCs w:val="20"/>
              </w:rPr>
              <w:t>у</w:t>
            </w:r>
            <w:proofErr w:type="gramEnd"/>
            <w:r>
              <w:rPr>
                <w:color w:val="000000"/>
                <w:sz w:val="20"/>
                <w:szCs w:val="20"/>
              </w:rPr>
              <w:t>қига эгадир.</w:t>
            </w:r>
            <w:r>
              <w:rPr>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Pr>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Pr>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Pr>
                <w:color w:val="000000"/>
                <w:sz w:val="20"/>
                <w:szCs w:val="20"/>
              </w:rPr>
              <w:br/>
              <w:t>25. Қурилиш майдонида умумий тартибни таъминлаш Пудратчининг вазифаси ҳисобланади.</w:t>
            </w:r>
            <w:r>
              <w:rPr>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Pr>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Pr>
                <w:color w:val="000000"/>
                <w:sz w:val="20"/>
                <w:szCs w:val="20"/>
              </w:rPr>
              <w:br/>
            </w:r>
            <w:r>
              <w:rPr>
                <w:color w:val="000000"/>
                <w:sz w:val="20"/>
                <w:szCs w:val="20"/>
              </w:rPr>
              <w:lastRenderedPageBreak/>
              <w:t xml:space="preserve">28. Пудратчи геодезия нуқталарига, линиялар ва даражаларга нисбатан объектнинг </w:t>
            </w:r>
            <w:proofErr w:type="gramStart"/>
            <w:r>
              <w:rPr>
                <w:color w:val="000000"/>
                <w:sz w:val="20"/>
                <w:szCs w:val="20"/>
              </w:rPr>
              <w:t>тўғри</w:t>
            </w:r>
            <w:proofErr w:type="gramEnd"/>
            <w:r>
              <w:rPr>
                <w:color w:val="000000"/>
                <w:sz w:val="20"/>
                <w:szCs w:val="20"/>
              </w:rPr>
              <w:t xml:space="preserve"> ва зарур тарзда белгиланиши, шунингдек баландлик белгилари ўлчамлари бўлиши ва уларнинг мувофиқлиги тўғри жойлашганлиги учун жавоб беради.</w:t>
            </w:r>
            <w:r>
              <w:rPr>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Pr>
                <w:color w:val="000000"/>
                <w:sz w:val="20"/>
                <w:szCs w:val="20"/>
              </w:rPr>
              <w:br/>
              <w:t xml:space="preserve">29. </w:t>
            </w:r>
            <w:proofErr w:type="gramStart"/>
            <w:r>
              <w:rPr>
                <w:color w:val="000000"/>
                <w:sz w:val="20"/>
                <w:szCs w:val="20"/>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Pr>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Pr>
                <w:color w:val="000000"/>
                <w:sz w:val="20"/>
                <w:szCs w:val="20"/>
              </w:rPr>
              <w:br/>
              <w:t>31.</w:t>
            </w:r>
            <w:proofErr w:type="gramEnd"/>
            <w:r>
              <w:rPr>
                <w:color w:val="000000"/>
                <w:sz w:val="20"/>
                <w:szCs w:val="20"/>
              </w:rPr>
              <w:t xml:space="preserve"> Пудратчи ўзи томонидан қурилишда қўлланиладиган қурилиш ма</w:t>
            </w:r>
            <w:r>
              <w:rPr>
                <w:rFonts w:ascii="Tahoma" w:hAnsi="Tahoma" w:cs="Tahoma"/>
                <w:color w:val="000000"/>
                <w:sz w:val="20"/>
                <w:szCs w:val="20"/>
              </w:rPr>
              <w:t>�</w:t>
            </w:r>
            <w:r>
              <w:rPr>
                <w:color w:val="000000"/>
                <w:sz w:val="20"/>
                <w:szCs w:val="20"/>
              </w:rPr>
              <w:t xml:space="preserve">ериаллари, асбоб-ускуналари ва бутловчи буюмлар, конструкциялар ва коммуникация тизимлари сифати </w:t>
            </w:r>
            <w:proofErr w:type="gramStart"/>
            <w:r>
              <w:rPr>
                <w:color w:val="000000"/>
                <w:sz w:val="20"/>
                <w:szCs w:val="20"/>
              </w:rPr>
              <w:t>лойи</w:t>
            </w:r>
            <w:proofErr w:type="gramEnd"/>
            <w:r>
              <w:rPr>
                <w:color w:val="000000"/>
                <w:sz w:val="20"/>
                <w:szCs w:val="20"/>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Pr>
                <w:color w:val="000000"/>
                <w:sz w:val="20"/>
                <w:szCs w:val="20"/>
              </w:rPr>
              <w:br/>
              <w:t xml:space="preserve">32. </w:t>
            </w:r>
            <w:proofErr w:type="gramStart"/>
            <w:r>
              <w:rPr>
                <w:color w:val="000000"/>
                <w:sz w:val="20"/>
                <w:szCs w:val="20"/>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Pr>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w:t>
            </w:r>
            <w:proofErr w:type="gramEnd"/>
            <w:r>
              <w:rPr>
                <w:color w:val="000000"/>
                <w:sz w:val="20"/>
                <w:szCs w:val="20"/>
              </w:rPr>
              <w:t xml:space="preserve"> тасдиқланади.</w:t>
            </w:r>
            <w:r>
              <w:rPr>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Pr>
                <w:color w:val="000000"/>
                <w:sz w:val="20"/>
                <w:szCs w:val="20"/>
              </w:rPr>
              <w:b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Pr>
                <w:color w:val="000000"/>
                <w:sz w:val="20"/>
                <w:szCs w:val="20"/>
              </w:rPr>
              <w:b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r>
              <w:rPr>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Pr>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Pr>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Pr>
                <w:color w:val="000000"/>
                <w:sz w:val="20"/>
                <w:szCs w:val="20"/>
              </w:rPr>
              <w:b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Pr>
                <w:color w:val="000000"/>
                <w:sz w:val="20"/>
                <w:szCs w:val="20"/>
              </w:rPr>
              <w:t>боғли</w:t>
            </w:r>
            <w:proofErr w:type="gramEnd"/>
            <w:r>
              <w:rPr>
                <w:color w:val="000000"/>
                <w:sz w:val="20"/>
                <w:szCs w:val="20"/>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Pr>
                <w:color w:val="000000"/>
                <w:sz w:val="20"/>
                <w:szCs w:val="20"/>
              </w:rPr>
              <w:t>таъсир қилиши мумкин бўлган барча маълумотлар) акс эттирилади.</w:t>
            </w:r>
            <w:proofErr w:type="gramEnd"/>
            <w:r>
              <w:rPr>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proofErr w:type="gramStart"/>
            <w:r>
              <w:rPr>
                <w:color w:val="000000"/>
                <w:sz w:val="20"/>
                <w:szCs w:val="20"/>
              </w:rPr>
              <w:t>?.</w:t>
            </w:r>
            <w:r>
              <w:rPr>
                <w:color w:val="000000"/>
                <w:sz w:val="20"/>
                <w:szCs w:val="20"/>
              </w:rPr>
              <w:br/>
            </w:r>
            <w:proofErr w:type="gramEnd"/>
            <w:r>
              <w:rPr>
                <w:color w:val="000000"/>
                <w:sz w:val="20"/>
                <w:szCs w:val="20"/>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IX. Ишларини қўриқлаш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 xml:space="preserve">39. Пудратчи ишлар бошланишидан қурилиш тугаллагунча ва қурилиш тугалланган объект Буюртмачи томонидан </w:t>
            </w:r>
            <w:r>
              <w:rPr>
                <w:color w:val="000000"/>
                <w:sz w:val="20"/>
                <w:szCs w:val="20"/>
              </w:rPr>
              <w:lastRenderedPageBreak/>
              <w:t xml:space="preserve">қабул килиб олингунга қадар четлари тўсилган қурилиш майдони ҳудудидаги материаллар, асбоб-ускуналар қурилиш техникаси ва </w:t>
            </w:r>
            <w:proofErr w:type="gramStart"/>
            <w:r>
              <w:rPr>
                <w:color w:val="000000"/>
                <w:sz w:val="20"/>
                <w:szCs w:val="20"/>
              </w:rPr>
              <w:t>бош</w:t>
            </w:r>
            <w:proofErr w:type="gramEnd"/>
            <w:r>
              <w:rPr>
                <w:color w:val="000000"/>
                <w:sz w:val="20"/>
                <w:szCs w:val="20"/>
              </w:rPr>
              <w:t>қа мол-мулк зарур даражада қўриқланишини таъминлайди.</w:t>
            </w:r>
            <w:r>
              <w:rPr>
                <w:color w:val="000000"/>
                <w:sz w:val="20"/>
                <w:szCs w:val="20"/>
              </w:rPr>
              <w:br/>
              <w:t xml:space="preserve">40. Тикланган бино ва иншоотлар шунингдек материаллар, асбоб-ускуналар ва </w:t>
            </w:r>
            <w:proofErr w:type="gramStart"/>
            <w:r>
              <w:rPr>
                <w:color w:val="000000"/>
                <w:sz w:val="20"/>
                <w:szCs w:val="20"/>
              </w:rPr>
              <w:t>бош</w:t>
            </w:r>
            <w:proofErr w:type="gramEnd"/>
            <w:r>
              <w:rPr>
                <w:color w:val="000000"/>
                <w:sz w:val="20"/>
                <w:szCs w:val="20"/>
              </w:rPr>
              <w:t>қа мол-мулклар объект қабул қилиб олингандан кейин сақланиши учун Буюртмачи жавоб беради.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X. Енгиб бўлмайдиган куч (форс-мажор) ҳолатлари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Pr>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Pr>
                <w:color w:val="000000"/>
                <w:sz w:val="20"/>
                <w:szCs w:val="20"/>
              </w:rPr>
              <w:br/>
              <w:t>42. Агар енгиб бўлмайдиган куч ҳолатлари ёки уларнинг оқибатлари бир ойда кў</w:t>
            </w:r>
            <w:proofErr w:type="gramStart"/>
            <w:r>
              <w:rPr>
                <w:color w:val="000000"/>
                <w:sz w:val="20"/>
                <w:szCs w:val="20"/>
              </w:rPr>
              <w:t>п</w:t>
            </w:r>
            <w:proofErr w:type="gramEnd"/>
            <w:r>
              <w:rPr>
                <w:color w:val="000000"/>
                <w:sz w:val="20"/>
                <w:szCs w:val="20"/>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Pr>
                <w:color w:val="000000"/>
                <w:sz w:val="20"/>
                <w:szCs w:val="20"/>
              </w:rPr>
              <w:br/>
              <w:t>43. Агар томонлар икки ой ичида келиша олмасалар, у ҳолда томонларнинг ҳар бири шартнома бекор қилинишини талаб қ</w:t>
            </w:r>
            <w:proofErr w:type="gramStart"/>
            <w:r>
              <w:rPr>
                <w:color w:val="000000"/>
                <w:sz w:val="20"/>
                <w:szCs w:val="20"/>
              </w:rPr>
              <w:t>илишга</w:t>
            </w:r>
            <w:proofErr w:type="gramEnd"/>
            <w:r>
              <w:rPr>
                <w:color w:val="000000"/>
                <w:sz w:val="20"/>
                <w:szCs w:val="20"/>
              </w:rPr>
              <w:t xml:space="preserve"> ҳақлидир.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XI. Қурилиши тугалланган объектни қабул қилиб олиш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Pr>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Pr>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Pr>
                <w:color w:val="000000"/>
                <w:sz w:val="20"/>
                <w:szCs w:val="20"/>
              </w:rPr>
              <w:br/>
              <w:t xml:space="preserve">47. Қабул қилиб олинган пайтдан бошлаб объект Буюртмачининг мулкига айланади. </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proofErr w:type="gramStart"/>
            <w:r>
              <w:rPr>
                <w:rStyle w:val="a3"/>
                <w:color w:val="000000"/>
                <w:sz w:val="20"/>
                <w:szCs w:val="20"/>
              </w:rPr>
              <w:t>Х</w:t>
            </w:r>
            <w:proofErr w:type="gramEnd"/>
            <w:r>
              <w:rPr>
                <w:rStyle w:val="a3"/>
                <w:color w:val="000000"/>
                <w:sz w:val="20"/>
                <w:szCs w:val="20"/>
              </w:rPr>
              <w:t>II. Кафолатлар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48. Пудратчи:</w:t>
            </w:r>
            <w:r>
              <w:rPr>
                <w:color w:val="000000"/>
                <w:sz w:val="20"/>
                <w:szCs w:val="20"/>
              </w:rPr>
              <w:br/>
              <w:t>— барча ишлар тўлиқ ҳажмда ва мазкур шартнома шартларида белгиланган муддатларда бажаришни;</w:t>
            </w:r>
            <w:r>
              <w:rPr>
                <w:color w:val="000000"/>
                <w:sz w:val="20"/>
                <w:szCs w:val="20"/>
              </w:rPr>
              <w:br/>
              <w:t xml:space="preserve">— </w:t>
            </w:r>
            <w:proofErr w:type="gramStart"/>
            <w:r>
              <w:rPr>
                <w:color w:val="000000"/>
                <w:sz w:val="20"/>
                <w:szCs w:val="20"/>
              </w:rPr>
              <w:t>лойи</w:t>
            </w:r>
            <w:proofErr w:type="gramEnd"/>
            <w:r>
              <w:rPr>
                <w:color w:val="000000"/>
                <w:sz w:val="20"/>
                <w:szCs w:val="20"/>
              </w:rPr>
              <w:t>ҳа ҳужжатлари ҳамда қурилиш меъёрлари, қоидалари ва техник шартларга мувофиқ бажарилган барча ишлар сифатини;</w:t>
            </w:r>
            <w:r>
              <w:rPr>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Pr>
                <w:color w:val="000000"/>
                <w:sz w:val="20"/>
                <w:szCs w:val="20"/>
              </w:rPr>
              <w:br/>
              <w:t>— ишларни қабул қилиш ва объектдан фойдаланишнинг кафолатли даврида аниқланган камчиликлар ва нуқсонларни ўз вақтида бартараф қилинишни;</w:t>
            </w:r>
            <w:r>
              <w:rPr>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Pr>
                <w:color w:val="000000"/>
                <w:sz w:val="20"/>
                <w:szCs w:val="20"/>
              </w:rPr>
              <w:b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ой этиб белгиланади. Объект томининг кафолат муддати камида ____ ой этиб белгиланади.</w:t>
            </w:r>
            <w:r>
              <w:rPr>
                <w:color w:val="000000"/>
                <w:sz w:val="20"/>
                <w:szCs w:val="20"/>
              </w:rPr>
              <w:br/>
              <w:t xml:space="preserve">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Pr>
                <w:color w:val="000000"/>
                <w:sz w:val="20"/>
                <w:szCs w:val="20"/>
              </w:rPr>
              <w:t>Ну</w:t>
            </w:r>
            <w:proofErr w:type="gramEnd"/>
            <w:r>
              <w:rPr>
                <w:color w:val="000000"/>
                <w:sz w:val="20"/>
                <w:szCs w:val="20"/>
              </w:rPr>
              <w:t>қсонлар Пудратчи томонидан унинг ўз ҳисобидан бартараф этилади.</w:t>
            </w:r>
            <w:r>
              <w:rPr>
                <w:color w:val="000000"/>
                <w:sz w:val="20"/>
                <w:szCs w:val="20"/>
              </w:rPr>
              <w:br/>
            </w:r>
            <w:r>
              <w:rPr>
                <w:color w:val="000000"/>
                <w:sz w:val="20"/>
                <w:szCs w:val="20"/>
              </w:rPr>
              <w:lastRenderedPageBreak/>
              <w:t>Мавжуд нуқсонлар ва уларни бартараф этиш муддатлари Пудратчи ва Буюртмачининг икки томонлама далолатномаларида қайд этилади.</w:t>
            </w:r>
            <w:r>
              <w:rPr>
                <w:color w:val="000000"/>
                <w:sz w:val="20"/>
                <w:szCs w:val="20"/>
              </w:rPr>
              <w:b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Pr>
                <w:color w:val="000000"/>
                <w:sz w:val="20"/>
                <w:szCs w:val="20"/>
              </w:rPr>
              <w:t>у</w:t>
            </w:r>
            <w:proofErr w:type="gramEnd"/>
            <w:r>
              <w:rPr>
                <w:color w:val="000000"/>
                <w:sz w:val="20"/>
                <w:szCs w:val="20"/>
              </w:rPr>
              <w:t>қига эга.</w:t>
            </w:r>
            <w:r>
              <w:rPr>
                <w:color w:val="000000"/>
                <w:sz w:val="20"/>
                <w:szCs w:val="20"/>
              </w:rPr>
              <w:b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proofErr w:type="gramStart"/>
            <w:r>
              <w:rPr>
                <w:rStyle w:val="a3"/>
                <w:color w:val="000000"/>
                <w:sz w:val="20"/>
                <w:szCs w:val="20"/>
              </w:rPr>
              <w:lastRenderedPageBreak/>
              <w:t>Х</w:t>
            </w:r>
            <w:proofErr w:type="gramEnd"/>
            <w:r>
              <w:rPr>
                <w:rStyle w:val="a3"/>
                <w:color w:val="000000"/>
                <w:sz w:val="20"/>
                <w:szCs w:val="20"/>
              </w:rPr>
              <w:t>III. Шартномани бекор қилиш</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52. Буюртмачи:</w:t>
            </w:r>
            <w:r>
              <w:rPr>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w:t>
            </w:r>
            <w:proofErr w:type="gramStart"/>
            <w:r>
              <w:rPr>
                <w:color w:val="000000"/>
                <w:sz w:val="20"/>
                <w:szCs w:val="20"/>
              </w:rPr>
              <w:t>п</w:t>
            </w:r>
            <w:proofErr w:type="gramEnd"/>
            <w:r>
              <w:rPr>
                <w:color w:val="000000"/>
                <w:sz w:val="20"/>
                <w:szCs w:val="20"/>
              </w:rPr>
              <w:t xml:space="preserve"> вақтга кечиктирилганда;</w:t>
            </w:r>
            <w:r>
              <w:rPr>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Pr>
                <w:color w:val="000000"/>
                <w:sz w:val="20"/>
                <w:szCs w:val="20"/>
              </w:rPr>
              <w:br/>
              <w:t>— пудратчи томонидан ишларни бажариш жадвалига риоя этилмаганда;</w:t>
            </w:r>
            <w:r>
              <w:rPr>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Pr>
                <w:rFonts w:ascii="Tahoma" w:hAnsi="Tahoma" w:cs="Tahoma"/>
                <w:color w:val="000000"/>
                <w:sz w:val="20"/>
                <w:szCs w:val="20"/>
              </w:rPr>
              <w:t>�</w:t>
            </w:r>
            <w:r>
              <w:rPr>
                <w:color w:val="000000"/>
                <w:sz w:val="20"/>
                <w:szCs w:val="20"/>
              </w:rPr>
              <w:t xml:space="preserve"> даражада бузилганда;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53. Пудратчи:</w:t>
            </w:r>
            <w:r>
              <w:rPr>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Pr>
                <w:color w:val="000000"/>
                <w:sz w:val="20"/>
                <w:szCs w:val="20"/>
              </w:rPr>
              <w:br/>
              <w:t>— буюртмачи томонидан молиялаштириш шартлари бажарилмаганда;</w:t>
            </w:r>
            <w:r>
              <w:rPr>
                <w:color w:val="000000"/>
                <w:sz w:val="20"/>
                <w:szCs w:val="20"/>
              </w:rPr>
              <w:br/>
              <w:t>— қонун ҳужжатларига мувофиқ бошқа асослар бўйича шартноманинг бекор қилинишини талаб қилиш ҳуқ</w:t>
            </w:r>
            <w:proofErr w:type="gramStart"/>
            <w:r>
              <w:rPr>
                <w:color w:val="000000"/>
                <w:sz w:val="20"/>
                <w:szCs w:val="20"/>
              </w:rPr>
              <w:t>у</w:t>
            </w:r>
            <w:proofErr w:type="gramEnd"/>
            <w:r>
              <w:rPr>
                <w:color w:val="000000"/>
                <w:sz w:val="20"/>
                <w:szCs w:val="20"/>
              </w:rPr>
              <w:t>қига эга.</w:t>
            </w:r>
            <w:r>
              <w:rPr>
                <w:color w:val="000000"/>
                <w:sz w:val="20"/>
                <w:szCs w:val="20"/>
              </w:rPr>
              <w:b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r>
              <w:rPr>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Pr>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Pr>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proofErr w:type="gramStart"/>
            <w:r>
              <w:rPr>
                <w:rStyle w:val="a3"/>
                <w:color w:val="000000"/>
                <w:sz w:val="20"/>
                <w:szCs w:val="20"/>
              </w:rPr>
              <w:t>Х</w:t>
            </w:r>
            <w:proofErr w:type="gramEnd"/>
            <w:r>
              <w:rPr>
                <w:rStyle w:val="a3"/>
                <w:color w:val="000000"/>
                <w:sz w:val="20"/>
                <w:szCs w:val="20"/>
              </w:rPr>
              <w:t>IV. Томонларнинг мулкий жавобгарлиги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58. Томонлардан бири шартнома мажбуриятини бажармаса ёки зарур даражада бажарилмаган тақдирда айбдор томон:</w:t>
            </w:r>
            <w:r>
              <w:rPr>
                <w:color w:val="000000"/>
                <w:sz w:val="20"/>
                <w:szCs w:val="20"/>
              </w:rPr>
              <w:br/>
              <w:t>— иккинчи томонга етказилган зарарни тўлайди;</w:t>
            </w:r>
            <w:r>
              <w:rPr>
                <w:color w:val="000000"/>
                <w:sz w:val="20"/>
                <w:szCs w:val="20"/>
              </w:rPr>
              <w:br/>
              <w:t>— Ўзбекистон Республикасининг Фуқаролик кодексида,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Pr>
                <w:color w:val="000000"/>
                <w:sz w:val="20"/>
                <w:szCs w:val="20"/>
              </w:rPr>
              <w:br/>
              <w:t xml:space="preserve">59. 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Pr>
                <w:color w:val="000000"/>
                <w:sz w:val="20"/>
                <w:szCs w:val="20"/>
              </w:rPr>
              <w:t>бош</w:t>
            </w:r>
            <w:proofErr w:type="gramEnd"/>
            <w:r>
              <w:rPr>
                <w:color w:val="000000"/>
                <w:sz w:val="20"/>
                <w:szCs w:val="20"/>
              </w:rPr>
              <w:t>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Pr>
                <w:color w:val="000000"/>
                <w:sz w:val="20"/>
                <w:szCs w:val="20"/>
              </w:rPr>
              <w:br/>
              <w:t>Пеня тўлашни Буюртмачини шартнома шартлари бузилиши туфайли етказилган зарарни қоплашдан озод этмайди.</w:t>
            </w:r>
            <w:r>
              <w:rPr>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w:t>
            </w:r>
            <w:proofErr w:type="gramStart"/>
            <w:r>
              <w:rPr>
                <w:color w:val="000000"/>
                <w:sz w:val="20"/>
                <w:szCs w:val="20"/>
              </w:rPr>
              <w:t>жарима</w:t>
            </w:r>
            <w:proofErr w:type="gramEnd"/>
            <w:r>
              <w:rPr>
                <w:color w:val="000000"/>
                <w:sz w:val="20"/>
                <w:szCs w:val="20"/>
              </w:rPr>
              <w:t xml:space="preserve"> </w:t>
            </w:r>
            <w:r>
              <w:rPr>
                <w:color w:val="000000"/>
                <w:sz w:val="20"/>
                <w:szCs w:val="20"/>
              </w:rPr>
              <w:lastRenderedPageBreak/>
              <w:t>тўлайди.</w:t>
            </w:r>
            <w:r>
              <w:rPr>
                <w:color w:val="000000"/>
                <w:sz w:val="20"/>
                <w:szCs w:val="20"/>
              </w:rPr>
              <w:b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____ фоизидан ошмаслиги лозим.</w:t>
            </w:r>
            <w:r>
              <w:rPr>
                <w:color w:val="000000"/>
                <w:sz w:val="20"/>
                <w:szCs w:val="20"/>
              </w:rPr>
              <w:b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миқдорида пеня тўлайди, бунда пенянинг умумий суммаси сифатсиз бажарилган ишлар қийматининг ____ фоизидан ошмаслиги керак.</w:t>
            </w:r>
            <w:r>
              <w:rPr>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Pr>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w:t>
            </w:r>
            <w:proofErr w:type="gramStart"/>
            <w:r>
              <w:rPr>
                <w:color w:val="000000"/>
                <w:sz w:val="20"/>
                <w:szCs w:val="20"/>
              </w:rPr>
              <w:t>у</w:t>
            </w:r>
            <w:proofErr w:type="gramEnd"/>
            <w:r>
              <w:rPr>
                <w:color w:val="000000"/>
                <w:sz w:val="20"/>
                <w:szCs w:val="20"/>
              </w:rPr>
              <w:t>қига эга.</w:t>
            </w:r>
            <w:r>
              <w:rPr>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Pr>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lastRenderedPageBreak/>
              <w:t>Х</w:t>
            </w:r>
            <w:proofErr w:type="gramStart"/>
            <w:r>
              <w:rPr>
                <w:rStyle w:val="a3"/>
                <w:color w:val="000000"/>
                <w:sz w:val="20"/>
                <w:szCs w:val="20"/>
              </w:rPr>
              <w:t>V</w:t>
            </w:r>
            <w:proofErr w:type="gramEnd"/>
            <w:r>
              <w:rPr>
                <w:rStyle w:val="a3"/>
                <w:color w:val="000000"/>
                <w:sz w:val="20"/>
                <w:szCs w:val="20"/>
              </w:rPr>
              <w:t>. Низоларни ҳал этиш тартиби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XVI. Алоҳида шартлар</w:t>
            </w: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Pr>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Pr>
                <w:color w:val="000000"/>
                <w:sz w:val="20"/>
                <w:szCs w:val="20"/>
              </w:rPr>
              <w:t>у</w:t>
            </w:r>
            <w:proofErr w:type="gramEnd"/>
            <w:r>
              <w:rPr>
                <w:color w:val="000000"/>
                <w:sz w:val="20"/>
                <w:szCs w:val="20"/>
              </w:rPr>
              <w:t>қига эга бўлмайди.</w:t>
            </w:r>
            <w:r>
              <w:rPr>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Pr>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Pr>
                <w:color w:val="000000"/>
                <w:sz w:val="20"/>
                <w:szCs w:val="20"/>
              </w:rPr>
              <w:br/>
              <w:t>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r>
              <w:rPr>
                <w:color w:val="000000"/>
                <w:sz w:val="20"/>
                <w:szCs w:val="20"/>
              </w:rPr>
              <w:br/>
              <w:t xml:space="preserve">71. Мазкур шартномада назарда тутилмаган </w:t>
            </w:r>
            <w:proofErr w:type="gramStart"/>
            <w:r>
              <w:rPr>
                <w:color w:val="000000"/>
                <w:sz w:val="20"/>
                <w:szCs w:val="20"/>
              </w:rPr>
              <w:t>бош</w:t>
            </w:r>
            <w:proofErr w:type="gramEnd"/>
            <w:r>
              <w:rPr>
                <w:color w:val="000000"/>
                <w:sz w:val="20"/>
                <w:szCs w:val="20"/>
              </w:rPr>
              <w:t>қа барча ҳоллар учун амалдаги қонун ҳужжатлари нормалари қўлланилади.</w:t>
            </w:r>
            <w:r>
              <w:rPr>
                <w:color w:val="000000"/>
                <w:sz w:val="20"/>
                <w:szCs w:val="20"/>
              </w:rPr>
              <w:br/>
              <w:t xml:space="preserve">72. Мазкур шартнома бир хил юридик кучга эга бўлган ______ нусхада тузилади. </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XVII. Томонларнинг банк реквизитлари ва юридик манзилари</w:t>
            </w: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Буюртмачи:</w:t>
            </w:r>
            <w:r>
              <w:rPr>
                <w:color w:val="000000"/>
                <w:sz w:val="20"/>
                <w:szCs w:val="20"/>
              </w:rPr>
              <w:br/>
              <w:t>____________________________________</w:t>
            </w:r>
            <w:r>
              <w:rPr>
                <w:color w:val="000000"/>
                <w:sz w:val="20"/>
                <w:szCs w:val="20"/>
              </w:rPr>
              <w:br/>
              <w:t>____________________________________</w:t>
            </w:r>
            <w:r>
              <w:rPr>
                <w:color w:val="000000"/>
                <w:sz w:val="20"/>
                <w:szCs w:val="20"/>
              </w:rPr>
              <w:br/>
            </w:r>
            <w:r>
              <w:rPr>
                <w:color w:val="000000"/>
                <w:sz w:val="20"/>
                <w:szCs w:val="20"/>
              </w:rPr>
              <w:lastRenderedPageBreak/>
              <w:t>Банк _______________________________.</w:t>
            </w:r>
            <w:r>
              <w:rPr>
                <w:color w:val="000000"/>
                <w:sz w:val="20"/>
                <w:szCs w:val="20"/>
              </w:rPr>
              <w:br/>
              <w:t>Ҳ/Р_________________________________.</w:t>
            </w:r>
            <w:r>
              <w:rPr>
                <w:color w:val="000000"/>
                <w:sz w:val="20"/>
                <w:szCs w:val="20"/>
              </w:rPr>
              <w:br/>
              <w:t>МФО___________ ИНН_______________.</w:t>
            </w:r>
            <w:r>
              <w:rPr>
                <w:color w:val="000000"/>
                <w:sz w:val="20"/>
                <w:szCs w:val="20"/>
              </w:rPr>
              <w:br/>
            </w:r>
            <w:r>
              <w:rPr>
                <w:color w:val="000000"/>
                <w:sz w:val="20"/>
                <w:szCs w:val="20"/>
              </w:rPr>
              <w:br/>
              <w:t>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 xml:space="preserve">Пудратчи: ____________________________________ ____________________________________ Банк _______________________________. Ҳ/Р_________________________________. </w:t>
            </w:r>
            <w:r>
              <w:rPr>
                <w:color w:val="000000"/>
                <w:sz w:val="20"/>
                <w:szCs w:val="20"/>
              </w:rPr>
              <w:lastRenderedPageBreak/>
              <w:t>МФО___________ ИНН_______________. Раҳбар: _____________________________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 (имзо)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rPr>
          <w:jc w:val="center"/>
        </w:trPr>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rStyle w:val="a3"/>
                <w:color w:val="000000"/>
                <w:sz w:val="20"/>
                <w:szCs w:val="20"/>
              </w:rPr>
              <w:t>Пудрат шартномасига илова қилинадиган</w:t>
            </w:r>
            <w:r>
              <w:rPr>
                <w:color w:val="000000"/>
                <w:sz w:val="20"/>
                <w:szCs w:val="20"/>
              </w:rPr>
              <w:br/>
              <w:t xml:space="preserve">ҳужжатлар </w:t>
            </w:r>
            <w:proofErr w:type="gramStart"/>
            <w:r>
              <w:rPr>
                <w:color w:val="000000"/>
                <w:sz w:val="20"/>
                <w:szCs w:val="20"/>
              </w:rPr>
              <w:t>р</w:t>
            </w:r>
            <w:proofErr w:type="gramEnd"/>
            <w:r>
              <w:rPr>
                <w:color w:val="000000"/>
                <w:sz w:val="20"/>
                <w:szCs w:val="20"/>
              </w:rPr>
              <w:t>ўйхати:</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rStyle w:val="a3"/>
                <w:color w:val="000000"/>
                <w:sz w:val="20"/>
                <w:szCs w:val="20"/>
              </w:rPr>
              <w:t>1. Қурилиш-монтаж ишларини бажариш жадвали.</w:t>
            </w:r>
            <w:r>
              <w:rPr>
                <w:b/>
                <w:bCs/>
                <w:color w:val="000000"/>
                <w:sz w:val="20"/>
                <w:szCs w:val="20"/>
              </w:rPr>
              <w:br/>
            </w:r>
            <w:r>
              <w:rPr>
                <w:rStyle w:val="a3"/>
                <w:color w:val="000000"/>
                <w:sz w:val="20"/>
                <w:szCs w:val="20"/>
              </w:rPr>
              <w:t>2. Ишларни (босқичларга бўлган ҳолда) молиялаштириш жадвали.</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Қонунининг 21-моддасига мувофиқ хўжалик шартномаларини ҳуқуқий экспертизадан ўтказиш</w:t>
            </w:r>
            <w:r>
              <w:rPr>
                <w:color w:val="000000"/>
                <w:sz w:val="20"/>
                <w:szCs w:val="20"/>
              </w:rPr>
              <w:br/>
            </w:r>
            <w:r>
              <w:rPr>
                <w:color w:val="000000"/>
                <w:sz w:val="20"/>
                <w:szCs w:val="20"/>
              </w:rPr>
              <w:br/>
              <w:t>Буюртмачи раҳбари:</w:t>
            </w:r>
            <w:r>
              <w:rPr>
                <w:color w:val="000000"/>
                <w:sz w:val="20"/>
                <w:szCs w:val="20"/>
              </w:rPr>
              <w:br/>
            </w:r>
            <w:r>
              <w:rPr>
                <w:color w:val="000000"/>
                <w:sz w:val="20"/>
                <w:szCs w:val="20"/>
              </w:rPr>
              <w:br/>
              <w:t>Пудратчи раҳбари</w:t>
            </w:r>
            <w:r>
              <w:rPr>
                <w:color w:val="000000"/>
                <w:sz w:val="20"/>
                <w:szCs w:val="20"/>
              </w:rPr>
              <w:br/>
            </w:r>
            <w:r>
              <w:rPr>
                <w:color w:val="000000"/>
                <w:sz w:val="20"/>
                <w:szCs w:val="20"/>
              </w:rPr>
              <w:br/>
              <w:t>Юридик хизмат кўрсатувчи:</w:t>
            </w:r>
            <w:r>
              <w:rPr>
                <w:color w:val="000000"/>
                <w:sz w:val="20"/>
                <w:szCs w:val="20"/>
              </w:rPr>
              <w:br/>
            </w:r>
            <w:r>
              <w:rPr>
                <w:color w:val="000000"/>
                <w:sz w:val="20"/>
                <w:szCs w:val="20"/>
              </w:rPr>
              <w:br/>
              <w:t>томонидан тузилаётган 20_____ йил «______________» ________</w:t>
            </w:r>
            <w:proofErr w:type="gramStart"/>
            <w:r>
              <w:rPr>
                <w:color w:val="000000"/>
                <w:sz w:val="20"/>
                <w:szCs w:val="20"/>
              </w:rPr>
              <w:t>_-</w:t>
            </w:r>
            <w:proofErr w:type="gramEnd"/>
            <w:r>
              <w:rPr>
                <w:color w:val="000000"/>
                <w:sz w:val="20"/>
                <w:szCs w:val="20"/>
              </w:rPr>
              <w:t>сон шартнома, умумий суммаси ________________</w:t>
            </w:r>
            <w:r>
              <w:rPr>
                <w:color w:val="000000"/>
                <w:sz w:val="20"/>
                <w:szCs w:val="20"/>
              </w:rPr>
              <w:br/>
              <w:t>(_________________________________________) сўм қилиб белгиланган шартнома лойиҳаси юзасидан,</w:t>
            </w: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rPr>
              <w:br/>
            </w:r>
            <w:r>
              <w:rPr>
                <w:color w:val="000000"/>
                <w:sz w:val="20"/>
                <w:szCs w:val="20"/>
              </w:rPr>
              <w:t>ЮРИДИК ХУЛОСАСИ</w:t>
            </w:r>
          </w:p>
        </w:tc>
      </w:tr>
      <w:tr w:rsidR="009A7E7B" w:rsidTr="00AE61F8">
        <w:tblPrEx>
          <w:jc w:val="left"/>
        </w:tblPrEx>
        <w:tc>
          <w:tcPr>
            <w:tcW w:w="0" w:type="auto"/>
            <w:gridSpan w:val="38"/>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color w:val="000000"/>
                <w:sz w:val="24"/>
                <w:szCs w:val="24"/>
              </w:rPr>
            </w:pPr>
            <w:r>
              <w:rPr>
                <w:color w:val="000000"/>
                <w:sz w:val="20"/>
                <w:szCs w:val="20"/>
              </w:rPr>
              <w:t>Мен, ушбу шартнома лойиҳасини амалдаги Ўзбекистон Республикаси Фуқаролик Кодексини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қий базаси тўғрисида»ги қонуни ва бошқа қонун ҳужжатлари асосида ҳуқуқий экспертиза қилиб, ушбу қурилиш Пудрат шартномасини ҳақиқатдан ҳам давлат рўйхатидан ўтганлигини ва мазкур шартномани имзолаш ҳуқуқига эга эканлигини ва банкдаги реквизитлар тўғрилигини, тўлов қобилиятига эга эканлигини ва шартнома лойиҳасининг қонунчилик ҳужжатларига мос келишлилигини аниқладим.</w:t>
            </w:r>
            <w:r>
              <w:rPr>
                <w:color w:val="000000"/>
                <w:sz w:val="20"/>
                <w:szCs w:val="20"/>
              </w:rPr>
              <w:br/>
              <w:t>Шу муносабат билан ушбу шартномани имзоласа бўлади деб ҳисоблайман.</w:t>
            </w: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Ҳуқ</w:t>
            </w:r>
            <w:proofErr w:type="gramStart"/>
            <w:r>
              <w:rPr>
                <w:rFonts w:eastAsia="Times New Roman"/>
                <w:color w:val="000000"/>
                <w:sz w:val="20"/>
                <w:szCs w:val="20"/>
              </w:rPr>
              <w:t>у</w:t>
            </w:r>
            <w:proofErr w:type="gramEnd"/>
            <w:r>
              <w:rPr>
                <w:rFonts w:eastAsia="Times New Roman"/>
                <w:color w:val="000000"/>
                <w:sz w:val="20"/>
                <w:szCs w:val="20"/>
              </w:rPr>
              <w:t>қшунос (Буюртмачи ташкилот):</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7"/>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jc w:val="center"/>
              <w:rPr>
                <w:color w:val="000000"/>
                <w:sz w:val="24"/>
                <w:szCs w:val="24"/>
              </w:rPr>
            </w:pPr>
            <w:r>
              <w:rPr>
                <w:color w:val="000000"/>
                <w:sz w:val="20"/>
                <w:szCs w:val="20"/>
              </w:rPr>
              <w:t>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М.Ў.</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r w:rsidR="009A7E7B" w:rsidTr="00AE61F8">
        <w:tblPrEx>
          <w:jc w:val="left"/>
        </w:tblPrEx>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15"/>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r>
              <w:rPr>
                <w:rFonts w:eastAsia="Times New Roman"/>
                <w:color w:val="000000"/>
                <w:sz w:val="20"/>
                <w:szCs w:val="20"/>
              </w:rPr>
              <w:t>«_____» __________________ 20__ йил</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9A7E7B" w:rsidRDefault="009A7E7B" w:rsidP="00AE61F8">
            <w:pPr>
              <w:rPr>
                <w:rFonts w:eastAsia="Times New Roman"/>
                <w:color w:val="000000"/>
                <w:sz w:val="24"/>
                <w:szCs w:val="24"/>
              </w:rPr>
            </w:pPr>
          </w:p>
        </w:tc>
      </w:tr>
    </w:tbl>
    <w:p w:rsidR="00B202E7" w:rsidRPr="009A7E7B" w:rsidRDefault="00B202E7" w:rsidP="009A7E7B"/>
    <w:sectPr w:rsidR="00B202E7" w:rsidRPr="009A7E7B" w:rsidSect="006350BC">
      <w:pgSz w:w="11906" w:h="16838"/>
      <w:pgMar w:top="1134" w:right="737"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7B21"/>
    <w:multiLevelType w:val="hybridMultilevel"/>
    <w:tmpl w:val="2EF6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6C2145"/>
    <w:rsid w:val="00000D47"/>
    <w:rsid w:val="000063DB"/>
    <w:rsid w:val="0000766F"/>
    <w:rsid w:val="00017464"/>
    <w:rsid w:val="00025165"/>
    <w:rsid w:val="000434E8"/>
    <w:rsid w:val="0005340C"/>
    <w:rsid w:val="000559B1"/>
    <w:rsid w:val="000737D3"/>
    <w:rsid w:val="000746E7"/>
    <w:rsid w:val="00081D7D"/>
    <w:rsid w:val="000838BA"/>
    <w:rsid w:val="000B1910"/>
    <w:rsid w:val="000B74F8"/>
    <w:rsid w:val="000D5FF6"/>
    <w:rsid w:val="000E703A"/>
    <w:rsid w:val="000F4569"/>
    <w:rsid w:val="000F4DCD"/>
    <w:rsid w:val="00114B1E"/>
    <w:rsid w:val="00142294"/>
    <w:rsid w:val="001469FD"/>
    <w:rsid w:val="001A4515"/>
    <w:rsid w:val="001A5C59"/>
    <w:rsid w:val="001A6918"/>
    <w:rsid w:val="001A7548"/>
    <w:rsid w:val="001B254E"/>
    <w:rsid w:val="001C62A0"/>
    <w:rsid w:val="001E5E49"/>
    <w:rsid w:val="001F35E8"/>
    <w:rsid w:val="0020193A"/>
    <w:rsid w:val="00213E6E"/>
    <w:rsid w:val="002160D7"/>
    <w:rsid w:val="0022472E"/>
    <w:rsid w:val="00235101"/>
    <w:rsid w:val="00240095"/>
    <w:rsid w:val="002469E7"/>
    <w:rsid w:val="00253D3D"/>
    <w:rsid w:val="00256691"/>
    <w:rsid w:val="00256F16"/>
    <w:rsid w:val="00264582"/>
    <w:rsid w:val="00286D3E"/>
    <w:rsid w:val="002902FB"/>
    <w:rsid w:val="002914A2"/>
    <w:rsid w:val="002A35BC"/>
    <w:rsid w:val="002A3F43"/>
    <w:rsid w:val="002B3114"/>
    <w:rsid w:val="002B4571"/>
    <w:rsid w:val="002B7F7F"/>
    <w:rsid w:val="00304567"/>
    <w:rsid w:val="00326BD3"/>
    <w:rsid w:val="00337590"/>
    <w:rsid w:val="00340AB0"/>
    <w:rsid w:val="0036124F"/>
    <w:rsid w:val="003655C2"/>
    <w:rsid w:val="00371AF8"/>
    <w:rsid w:val="003805CD"/>
    <w:rsid w:val="00390456"/>
    <w:rsid w:val="003B4AAE"/>
    <w:rsid w:val="003B6D53"/>
    <w:rsid w:val="003D3E39"/>
    <w:rsid w:val="003D69AE"/>
    <w:rsid w:val="003E29DF"/>
    <w:rsid w:val="003E77B8"/>
    <w:rsid w:val="003F4218"/>
    <w:rsid w:val="003F48E7"/>
    <w:rsid w:val="003F5D2C"/>
    <w:rsid w:val="003F79CC"/>
    <w:rsid w:val="00425C31"/>
    <w:rsid w:val="00427D5C"/>
    <w:rsid w:val="004373DC"/>
    <w:rsid w:val="0044089F"/>
    <w:rsid w:val="00443CF6"/>
    <w:rsid w:val="00451533"/>
    <w:rsid w:val="0046109E"/>
    <w:rsid w:val="004717A5"/>
    <w:rsid w:val="00473ADD"/>
    <w:rsid w:val="00487464"/>
    <w:rsid w:val="00487A0E"/>
    <w:rsid w:val="0049131D"/>
    <w:rsid w:val="004A268B"/>
    <w:rsid w:val="004A5634"/>
    <w:rsid w:val="004A68F4"/>
    <w:rsid w:val="004D0AE6"/>
    <w:rsid w:val="004E1713"/>
    <w:rsid w:val="004F7717"/>
    <w:rsid w:val="00501F6C"/>
    <w:rsid w:val="00502FDB"/>
    <w:rsid w:val="00522024"/>
    <w:rsid w:val="005402C8"/>
    <w:rsid w:val="00544750"/>
    <w:rsid w:val="00551144"/>
    <w:rsid w:val="0055472D"/>
    <w:rsid w:val="00556581"/>
    <w:rsid w:val="0055673D"/>
    <w:rsid w:val="00556A9C"/>
    <w:rsid w:val="00573F63"/>
    <w:rsid w:val="00581B2D"/>
    <w:rsid w:val="0059541E"/>
    <w:rsid w:val="005C1B70"/>
    <w:rsid w:val="005D1DD3"/>
    <w:rsid w:val="005D3F5C"/>
    <w:rsid w:val="005E11B0"/>
    <w:rsid w:val="00607671"/>
    <w:rsid w:val="006177E1"/>
    <w:rsid w:val="006207D5"/>
    <w:rsid w:val="00635050"/>
    <w:rsid w:val="006350BC"/>
    <w:rsid w:val="00640BA5"/>
    <w:rsid w:val="00655C0D"/>
    <w:rsid w:val="00675277"/>
    <w:rsid w:val="00691953"/>
    <w:rsid w:val="006A0B8C"/>
    <w:rsid w:val="006A1157"/>
    <w:rsid w:val="006B53A1"/>
    <w:rsid w:val="006C0048"/>
    <w:rsid w:val="006C2145"/>
    <w:rsid w:val="006D6F5A"/>
    <w:rsid w:val="006E730E"/>
    <w:rsid w:val="007032C2"/>
    <w:rsid w:val="00705A3E"/>
    <w:rsid w:val="0070697E"/>
    <w:rsid w:val="00715D67"/>
    <w:rsid w:val="007555A7"/>
    <w:rsid w:val="00771CFD"/>
    <w:rsid w:val="00777BC2"/>
    <w:rsid w:val="00780B92"/>
    <w:rsid w:val="00793FD6"/>
    <w:rsid w:val="007A028F"/>
    <w:rsid w:val="007B13DF"/>
    <w:rsid w:val="007C06D0"/>
    <w:rsid w:val="007C286A"/>
    <w:rsid w:val="007C5641"/>
    <w:rsid w:val="007E17C7"/>
    <w:rsid w:val="007E284C"/>
    <w:rsid w:val="00801ED8"/>
    <w:rsid w:val="00815F27"/>
    <w:rsid w:val="008246C1"/>
    <w:rsid w:val="00827E8B"/>
    <w:rsid w:val="008315F5"/>
    <w:rsid w:val="00835FD7"/>
    <w:rsid w:val="00851547"/>
    <w:rsid w:val="00857690"/>
    <w:rsid w:val="008656AF"/>
    <w:rsid w:val="0087074D"/>
    <w:rsid w:val="00874611"/>
    <w:rsid w:val="00881EFD"/>
    <w:rsid w:val="00882315"/>
    <w:rsid w:val="008871DE"/>
    <w:rsid w:val="008A797F"/>
    <w:rsid w:val="008C18AF"/>
    <w:rsid w:val="008C4A2D"/>
    <w:rsid w:val="008D4BA7"/>
    <w:rsid w:val="008E65ED"/>
    <w:rsid w:val="008F17C4"/>
    <w:rsid w:val="008F47FB"/>
    <w:rsid w:val="008F7D6A"/>
    <w:rsid w:val="00905FF9"/>
    <w:rsid w:val="00914277"/>
    <w:rsid w:val="00916A08"/>
    <w:rsid w:val="009330C4"/>
    <w:rsid w:val="009366FA"/>
    <w:rsid w:val="0094023C"/>
    <w:rsid w:val="00943B5F"/>
    <w:rsid w:val="00955B75"/>
    <w:rsid w:val="009600C4"/>
    <w:rsid w:val="009869BD"/>
    <w:rsid w:val="009968F5"/>
    <w:rsid w:val="009A4B40"/>
    <w:rsid w:val="009A7E7B"/>
    <w:rsid w:val="009B06F5"/>
    <w:rsid w:val="009F0E00"/>
    <w:rsid w:val="009F4389"/>
    <w:rsid w:val="009F663C"/>
    <w:rsid w:val="00A01DF9"/>
    <w:rsid w:val="00A467CB"/>
    <w:rsid w:val="00A573AD"/>
    <w:rsid w:val="00A60629"/>
    <w:rsid w:val="00A61711"/>
    <w:rsid w:val="00A717F6"/>
    <w:rsid w:val="00A7334B"/>
    <w:rsid w:val="00A909CF"/>
    <w:rsid w:val="00A95B5B"/>
    <w:rsid w:val="00AC08E1"/>
    <w:rsid w:val="00AD2F26"/>
    <w:rsid w:val="00AD37EE"/>
    <w:rsid w:val="00AD5FE5"/>
    <w:rsid w:val="00AE6F8B"/>
    <w:rsid w:val="00AF09DF"/>
    <w:rsid w:val="00AF718F"/>
    <w:rsid w:val="00B04D1F"/>
    <w:rsid w:val="00B11425"/>
    <w:rsid w:val="00B202E7"/>
    <w:rsid w:val="00B432C9"/>
    <w:rsid w:val="00B46839"/>
    <w:rsid w:val="00B51FE6"/>
    <w:rsid w:val="00B524D0"/>
    <w:rsid w:val="00B52E00"/>
    <w:rsid w:val="00B738B3"/>
    <w:rsid w:val="00BB41A2"/>
    <w:rsid w:val="00BB6ADE"/>
    <w:rsid w:val="00BC0C03"/>
    <w:rsid w:val="00BC39E0"/>
    <w:rsid w:val="00BE06BB"/>
    <w:rsid w:val="00C02425"/>
    <w:rsid w:val="00C12CCD"/>
    <w:rsid w:val="00C15A07"/>
    <w:rsid w:val="00C27524"/>
    <w:rsid w:val="00C330A6"/>
    <w:rsid w:val="00C425DC"/>
    <w:rsid w:val="00C450A8"/>
    <w:rsid w:val="00C53198"/>
    <w:rsid w:val="00C60141"/>
    <w:rsid w:val="00C60544"/>
    <w:rsid w:val="00C64FB5"/>
    <w:rsid w:val="00C65654"/>
    <w:rsid w:val="00C709D9"/>
    <w:rsid w:val="00C70A61"/>
    <w:rsid w:val="00C72A97"/>
    <w:rsid w:val="00C743D0"/>
    <w:rsid w:val="00C82BDB"/>
    <w:rsid w:val="00C85055"/>
    <w:rsid w:val="00C854A9"/>
    <w:rsid w:val="00CA715A"/>
    <w:rsid w:val="00CB4997"/>
    <w:rsid w:val="00CD4547"/>
    <w:rsid w:val="00CE0A1F"/>
    <w:rsid w:val="00CF1656"/>
    <w:rsid w:val="00D06852"/>
    <w:rsid w:val="00D069E8"/>
    <w:rsid w:val="00D14D7E"/>
    <w:rsid w:val="00D1637E"/>
    <w:rsid w:val="00D17C3C"/>
    <w:rsid w:val="00D21899"/>
    <w:rsid w:val="00D2215C"/>
    <w:rsid w:val="00D33215"/>
    <w:rsid w:val="00D40224"/>
    <w:rsid w:val="00D4297B"/>
    <w:rsid w:val="00D579A7"/>
    <w:rsid w:val="00D879ED"/>
    <w:rsid w:val="00D94DE0"/>
    <w:rsid w:val="00DA52A6"/>
    <w:rsid w:val="00DD556F"/>
    <w:rsid w:val="00DD7338"/>
    <w:rsid w:val="00DE14EE"/>
    <w:rsid w:val="00DF44F6"/>
    <w:rsid w:val="00E021E0"/>
    <w:rsid w:val="00E06ACE"/>
    <w:rsid w:val="00E2234C"/>
    <w:rsid w:val="00E60F71"/>
    <w:rsid w:val="00E766A1"/>
    <w:rsid w:val="00E8222E"/>
    <w:rsid w:val="00EA119A"/>
    <w:rsid w:val="00EA1498"/>
    <w:rsid w:val="00EA2FBE"/>
    <w:rsid w:val="00ED39A9"/>
    <w:rsid w:val="00EE01CE"/>
    <w:rsid w:val="00EF4BD3"/>
    <w:rsid w:val="00EF6571"/>
    <w:rsid w:val="00F07E5F"/>
    <w:rsid w:val="00F13059"/>
    <w:rsid w:val="00F22E65"/>
    <w:rsid w:val="00F76F0B"/>
    <w:rsid w:val="00F85CC5"/>
    <w:rsid w:val="00FC61A7"/>
    <w:rsid w:val="00FE4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2145"/>
    <w:rPr>
      <w:b/>
      <w:bCs/>
    </w:rPr>
  </w:style>
  <w:style w:type="paragraph" w:styleId="a4">
    <w:name w:val="List Paragraph"/>
    <w:basedOn w:val="a"/>
    <w:uiPriority w:val="34"/>
    <w:qFormat/>
    <w:rsid w:val="006C2145"/>
    <w:pPr>
      <w:ind w:left="720"/>
      <w:contextualSpacing/>
    </w:pPr>
  </w:style>
  <w:style w:type="character" w:styleId="a5">
    <w:name w:val="Hyperlink"/>
    <w:basedOn w:val="a0"/>
    <w:uiPriority w:val="99"/>
    <w:semiHidden/>
    <w:unhideWhenUsed/>
    <w:rsid w:val="002B3114"/>
    <w:rPr>
      <w:color w:val="0000FF"/>
      <w:u w:val="single"/>
    </w:rPr>
  </w:style>
</w:styles>
</file>

<file path=word/webSettings.xml><?xml version="1.0" encoding="utf-8"?>
<w:webSettings xmlns:r="http://schemas.openxmlformats.org/officeDocument/2006/relationships" xmlns:w="http://schemas.openxmlformats.org/wordprocessingml/2006/main">
  <w:divs>
    <w:div w:id="70348308">
      <w:bodyDiv w:val="1"/>
      <w:marLeft w:val="0"/>
      <w:marRight w:val="0"/>
      <w:marTop w:val="0"/>
      <w:marBottom w:val="0"/>
      <w:divBdr>
        <w:top w:val="none" w:sz="0" w:space="0" w:color="auto"/>
        <w:left w:val="none" w:sz="0" w:space="0" w:color="auto"/>
        <w:bottom w:val="none" w:sz="0" w:space="0" w:color="auto"/>
        <w:right w:val="none" w:sz="0" w:space="0" w:color="auto"/>
      </w:divBdr>
    </w:div>
    <w:div w:id="157579907">
      <w:bodyDiv w:val="1"/>
      <w:marLeft w:val="0"/>
      <w:marRight w:val="0"/>
      <w:marTop w:val="0"/>
      <w:marBottom w:val="0"/>
      <w:divBdr>
        <w:top w:val="none" w:sz="0" w:space="0" w:color="auto"/>
        <w:left w:val="none" w:sz="0" w:space="0" w:color="auto"/>
        <w:bottom w:val="none" w:sz="0" w:space="0" w:color="auto"/>
        <w:right w:val="none" w:sz="0" w:space="0" w:color="auto"/>
      </w:divBdr>
    </w:div>
    <w:div w:id="565533072">
      <w:bodyDiv w:val="1"/>
      <w:marLeft w:val="0"/>
      <w:marRight w:val="0"/>
      <w:marTop w:val="0"/>
      <w:marBottom w:val="0"/>
      <w:divBdr>
        <w:top w:val="none" w:sz="0" w:space="0" w:color="auto"/>
        <w:left w:val="none" w:sz="0" w:space="0" w:color="auto"/>
        <w:bottom w:val="none" w:sz="0" w:space="0" w:color="auto"/>
        <w:right w:val="none" w:sz="0" w:space="0" w:color="auto"/>
      </w:divBdr>
    </w:div>
    <w:div w:id="743836740">
      <w:bodyDiv w:val="1"/>
      <w:marLeft w:val="0"/>
      <w:marRight w:val="0"/>
      <w:marTop w:val="0"/>
      <w:marBottom w:val="0"/>
      <w:divBdr>
        <w:top w:val="none" w:sz="0" w:space="0" w:color="auto"/>
        <w:left w:val="none" w:sz="0" w:space="0" w:color="auto"/>
        <w:bottom w:val="none" w:sz="0" w:space="0" w:color="auto"/>
        <w:right w:val="none" w:sz="0" w:space="0" w:color="auto"/>
      </w:divBdr>
    </w:div>
    <w:div w:id="875309639">
      <w:bodyDiv w:val="1"/>
      <w:marLeft w:val="0"/>
      <w:marRight w:val="0"/>
      <w:marTop w:val="0"/>
      <w:marBottom w:val="0"/>
      <w:divBdr>
        <w:top w:val="none" w:sz="0" w:space="0" w:color="auto"/>
        <w:left w:val="none" w:sz="0" w:space="0" w:color="auto"/>
        <w:bottom w:val="none" w:sz="0" w:space="0" w:color="auto"/>
        <w:right w:val="none" w:sz="0" w:space="0" w:color="auto"/>
      </w:divBdr>
    </w:div>
    <w:div w:id="1006321713">
      <w:bodyDiv w:val="1"/>
      <w:marLeft w:val="0"/>
      <w:marRight w:val="0"/>
      <w:marTop w:val="0"/>
      <w:marBottom w:val="0"/>
      <w:divBdr>
        <w:top w:val="none" w:sz="0" w:space="0" w:color="auto"/>
        <w:left w:val="none" w:sz="0" w:space="0" w:color="auto"/>
        <w:bottom w:val="none" w:sz="0" w:space="0" w:color="auto"/>
        <w:right w:val="none" w:sz="0" w:space="0" w:color="auto"/>
      </w:divBdr>
    </w:div>
    <w:div w:id="1170679223">
      <w:bodyDiv w:val="1"/>
      <w:marLeft w:val="0"/>
      <w:marRight w:val="0"/>
      <w:marTop w:val="0"/>
      <w:marBottom w:val="0"/>
      <w:divBdr>
        <w:top w:val="none" w:sz="0" w:space="0" w:color="auto"/>
        <w:left w:val="none" w:sz="0" w:space="0" w:color="auto"/>
        <w:bottom w:val="none" w:sz="0" w:space="0" w:color="auto"/>
        <w:right w:val="none" w:sz="0" w:space="0" w:color="auto"/>
      </w:divBdr>
    </w:div>
    <w:div w:id="1375809470">
      <w:bodyDiv w:val="1"/>
      <w:marLeft w:val="0"/>
      <w:marRight w:val="0"/>
      <w:marTop w:val="0"/>
      <w:marBottom w:val="0"/>
      <w:divBdr>
        <w:top w:val="none" w:sz="0" w:space="0" w:color="auto"/>
        <w:left w:val="none" w:sz="0" w:space="0" w:color="auto"/>
        <w:bottom w:val="none" w:sz="0" w:space="0" w:color="auto"/>
        <w:right w:val="none" w:sz="0" w:space="0" w:color="auto"/>
      </w:divBdr>
    </w:div>
    <w:div w:id="1387605582">
      <w:bodyDiv w:val="1"/>
      <w:marLeft w:val="0"/>
      <w:marRight w:val="0"/>
      <w:marTop w:val="0"/>
      <w:marBottom w:val="0"/>
      <w:divBdr>
        <w:top w:val="none" w:sz="0" w:space="0" w:color="auto"/>
        <w:left w:val="none" w:sz="0" w:space="0" w:color="auto"/>
        <w:bottom w:val="none" w:sz="0" w:space="0" w:color="auto"/>
        <w:right w:val="none" w:sz="0" w:space="0" w:color="auto"/>
      </w:divBdr>
    </w:div>
    <w:div w:id="1639872730">
      <w:bodyDiv w:val="1"/>
      <w:marLeft w:val="0"/>
      <w:marRight w:val="0"/>
      <w:marTop w:val="0"/>
      <w:marBottom w:val="0"/>
      <w:divBdr>
        <w:top w:val="none" w:sz="0" w:space="0" w:color="auto"/>
        <w:left w:val="none" w:sz="0" w:space="0" w:color="auto"/>
        <w:bottom w:val="none" w:sz="0" w:space="0" w:color="auto"/>
        <w:right w:val="none" w:sz="0" w:space="0" w:color="auto"/>
      </w:divBdr>
    </w:div>
    <w:div w:id="1662346452">
      <w:bodyDiv w:val="1"/>
      <w:marLeft w:val="0"/>
      <w:marRight w:val="0"/>
      <w:marTop w:val="0"/>
      <w:marBottom w:val="0"/>
      <w:divBdr>
        <w:top w:val="none" w:sz="0" w:space="0" w:color="auto"/>
        <w:left w:val="none" w:sz="0" w:space="0" w:color="auto"/>
        <w:bottom w:val="none" w:sz="0" w:space="0" w:color="auto"/>
        <w:right w:val="none" w:sz="0" w:space="0" w:color="auto"/>
      </w:divBdr>
    </w:div>
    <w:div w:id="17486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8</Pages>
  <Words>4044</Words>
  <Characters>23054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386</cp:revision>
  <cp:lastPrinted>2021-12-12T05:06:00Z</cp:lastPrinted>
  <dcterms:created xsi:type="dcterms:W3CDTF">2021-10-27T03:22:00Z</dcterms:created>
  <dcterms:modified xsi:type="dcterms:W3CDTF">2022-02-21T14:53:00Z</dcterms:modified>
</cp:coreProperties>
</file>