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823" w:rsidRPr="00443B2F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PUDRAT SHARTNOMASI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</w:t>
      </w:r>
    </w:p>
    <w:p w:rsidR="002E6823" w:rsidRPr="002E6823" w:rsidRDefault="002E6823" w:rsidP="002E6823">
      <w:pPr>
        <w:spacing w:before="176" w:after="0" w:line="240" w:lineRule="auto"/>
        <w:ind w:left="927" w:right="92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</w:p>
    <w:p w:rsidR="002E6823" w:rsidRPr="002E6823" w:rsidRDefault="00330A9F" w:rsidP="00AA6A35">
      <w:pPr>
        <w:spacing w:before="85" w:after="0" w:line="367" w:lineRule="atLeast"/>
        <w:ind w:firstLine="566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Beshariq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tumani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Obodonlashtirish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boshqarmasi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keyingi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yuritiladi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boshliq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Nasipov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N.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keying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oʻrinlarda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” deb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yuri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tiladi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nomidan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Nizom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asosida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qiluvchi</w:t>
      </w:r>
      <w:proofErr w:type="spellEnd"/>
      <w:r w:rsidR="00893EF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_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  <w:t xml:space="preserve">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AA6A3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inchi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tomondan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quyidagilar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toʻgʻrisida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tuzdilar:</w:t>
      </w:r>
    </w:p>
    <w:p w:rsidR="002E6823" w:rsidRPr="002E6823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1. SHARTNOMA PREDMETI</w:t>
      </w:r>
    </w:p>
    <w:p w:rsidR="002E6823" w:rsidRPr="002E6823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1.1. 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tavakkalchiligiga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hamda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topshirigʻiga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Farg’ona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viloyati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Beshariq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tumani</w:t>
      </w:r>
      <w:proofErr w:type="spellEnd"/>
      <w:r w:rsidR="00A90D2D" w:rsidRPr="003B3A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Qum</w:t>
      </w:r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MFY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hududida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qudug’ini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rekonstruktsiya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qilib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minorasi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nasosi</w:t>
      </w:r>
      <w:proofErr w:type="spellEnd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hamda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1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dona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TP </w:t>
      </w:r>
      <w:proofErr w:type="spellStart"/>
      <w:r w:rsidR="00E82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o’rnatish</w:t>
      </w:r>
      <w:proofErr w:type="spellEnd"/>
      <w:r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yangi</w:t>
      </w:r>
      <w:proofErr w:type="spellEnd"/>
      <w:r w:rsidR="00C83D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ichimlik</w:t>
      </w:r>
      <w:proofErr w:type="spellEnd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suv</w:t>
      </w:r>
      <w:proofErr w:type="spellEnd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tarmag’i</w:t>
      </w:r>
      <w:proofErr w:type="spellEnd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413A1" w:rsidRPr="001413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tortish</w:t>
      </w:r>
      <w:proofErr w:type="spellEnd"/>
      <w:r w:rsidR="001413A1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esa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2. SHARTNOMA BAHOSI</w:t>
      </w:r>
    </w:p>
    <w:p w:rsidR="002E6823" w:rsidRPr="002E6823" w:rsidRDefault="002E6823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2.1. Shartnoma bahosi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soʻmni tashkil etadi.</w:t>
      </w:r>
    </w:p>
    <w:p w:rsidR="002E6823" w:rsidRPr="002E6823" w:rsidRDefault="003D249F" w:rsidP="002E6823">
      <w:pPr>
        <w:spacing w:after="0" w:line="367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2.2</w:t>
      </w:r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 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2.1-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bandida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koʻrsatilgan</w:t>
      </w:r>
      <w:proofErr w:type="spellEnd"/>
      <w:r w:rsidR="002E6823"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baho dastlabki boʻlib, soʻnggi baho Pudratchi taqdim etgan loyiha-smeta hujjatlariga muvofiq belgilanadi. Shartnoma bahosi inflyatsiya natijasida taraflarning kelishuviga muvofiq oʻzgartirilishi mumkin. Shartnoma bahosining oshishi bilan bogʻliq xarajatlar Buyurtmachi tomonidan ushbu shartnomaning 3-bandida belgilangan tartibda qoplanadi.</w:t>
      </w:r>
    </w:p>
    <w:p w:rsidR="002E6823" w:rsidRPr="002E6823" w:rsidRDefault="002E6823" w:rsidP="002E6823">
      <w:pPr>
        <w:spacing w:after="0" w:line="367" w:lineRule="atLeast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3. TOʻLOV SHARTLARI</w:t>
      </w:r>
    </w:p>
    <w:p w:rsidR="002E6823" w:rsidRPr="002E6823" w:rsidRDefault="002E6823" w:rsidP="000F0119">
      <w:pPr>
        <w:spacing w:after="0" w:line="367" w:lineRule="atLeast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3.1. 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avans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to’lovi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bo’lib-bo’lib</w:t>
      </w:r>
      <w:proofErr w:type="spellEnd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to’lash</w:t>
      </w:r>
      <w:proofErr w:type="spellEnd"/>
    </w:p>
    <w:p w:rsidR="002E6823" w:rsidRPr="002E6823" w:rsidRDefault="002E6823" w:rsidP="00664A55">
      <w:pPr>
        <w:spacing w:before="6" w:after="0" w:line="240" w:lineRule="auto"/>
        <w:ind w:firstLine="70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3.2. 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Toʻlov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shakli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0F0119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to’lov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topshiriqnomasi</w:t>
      </w:r>
      <w:proofErr w:type="spellEnd"/>
    </w:p>
    <w:p w:rsidR="002E6823" w:rsidRPr="002E6823" w:rsidRDefault="002E6823" w:rsidP="002E6823">
      <w:pPr>
        <w:spacing w:after="0" w:line="240" w:lineRule="auto"/>
        <w:ind w:right="569"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3.3. Shartnoma boʻyicha soʻnggi hisob-kitob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jarayonida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aniqlangan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,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30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kundan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kechiktirmay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amalga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oshiriladi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569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4. MAJBURIYATLARNI BAJARISH MUDDATLAR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4.1. Pudratchi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1.1-bandida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nazarda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tutilgan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kalendar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rejasida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belgilangan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4.2. 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quyidagi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: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avans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to’lovi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15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ish</w:t>
      </w:r>
      <w:proofErr w:type="spellEnd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proofErr w:type="spellStart"/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kuni</w:t>
      </w:r>
      <w:proofErr w:type="spellEnd"/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4.3. Shartnomaning amal qilish muddati: </w:t>
      </w:r>
    </w:p>
    <w:p w:rsidR="002E6823" w:rsidRP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Boshlanishi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664A55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22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“</w:t>
      </w:r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“</w:t>
      </w:r>
    </w:p>
    <w:p w:rsidR="002E6823" w:rsidRDefault="002E6823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</w:pPr>
      <w:proofErr w:type="spell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Tugashi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– 20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22 </w:t>
      </w:r>
      <w:proofErr w:type="spellStart"/>
      <w:proofErr w:type="gramStart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yil</w:t>
      </w:r>
      <w:proofErr w:type="spell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“</w:t>
      </w:r>
      <w:proofErr w:type="gramEnd"/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     </w:t>
      </w:r>
      <w:r w:rsidRP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ab/>
      </w:r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>_____”</w:t>
      </w:r>
    </w:p>
    <w:p w:rsidR="00443B2F" w:rsidRPr="00443B2F" w:rsidRDefault="00443B2F" w:rsidP="002E6823">
      <w:pPr>
        <w:spacing w:after="0" w:line="240" w:lineRule="auto"/>
        <w:ind w:right="573" w:firstLine="56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2E6823" w:rsidRPr="002E6823" w:rsidRDefault="002E6823" w:rsidP="002E6823">
      <w:pPr>
        <w:spacing w:after="0" w:line="240" w:lineRule="auto"/>
        <w:ind w:right="573"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5. TARAFLARNING MAJBURIYATLARI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lastRenderedPageBreak/>
        <w:t>5.1.</w:t>
      </w: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 </w:t>
      </w: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 majburiyatlari: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 kuchi va mablagʻlari hisobidan ishlarning kalendar rejasida belgilangan hajmda va muddatlarda barcha ishlarni bajarish va Buyurtmachiga loyiha hujjatlariga mos keladigan holatda ishlarni topshirish;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loyihaga muvofiq zaruriy materiallarni, qurilmalar, butlovchi ashyolarni qurilish maydonchasiga yetkazib kelish va ularni qabul qilishni, tushirib olishni, omborga joylashni hamda qurilish davomida ularni saqlashni amalga oshirish;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 kuchi va vositalari bilan materiallar, qurilmalar, ashyolarni joylashtirish va ushbu shartnoma boʻyicha ishlarni bajarish uchun zarur boʻlgan barcha muvaqqat binolarni qurish;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 shartnoma boʻyicha ishlarni bajarish uchun jalb qilinayotgan ixtisoslashtirilgan tashkilotlar bilan  yordamchi pudrat shartnomalari tuzilganligi haqida Buyurtmachini xabardor qilish va yordamchi pudratchilar tomonidan ishlarning  bajarilishini nazorat qilish;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 texnika va yongʻin xavfsizligi hamda qurilish maydonchasining qoʻriqlanishi boʻyicha zaruriy tadbirlarning bajarilishini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obyektlarining sugʻurta qilinishini taʼminlash;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qurilishi tugallangan obyektlarni qabul qilish</w:t>
      </w:r>
    </w:p>
    <w:p w:rsidR="002E6823" w:rsidRPr="002E6823" w:rsidRDefault="002E6823" w:rsidP="002E682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dalolatnomasi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imzolangandan</w:t>
      </w:r>
      <w:proofErr w:type="spellEnd"/>
      <w:r w:rsidR="00443B2F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keyin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muddatda</w:t>
      </w:r>
      <w:proofErr w:type="spellEnd"/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 maydonchasidan oʻziga tegishli mol-mulkni olib ketish.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5.2. Buyurtmachining majburiyatlari: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ishlarning kalendar rejasida belgilangan hajmda va muddatda Pudratchiga qurilish maydonchasini topshirish;</w:t>
      </w:r>
    </w:p>
    <w:p w:rsidR="002E6823" w:rsidRP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shartnomada belgilangan miqdorda va muddatda shartnomaning 1.1-bandida nazarda tutilgan ishlarni bajarganlik uchun Pudratchiga haq toʻlash;</w:t>
      </w:r>
    </w:p>
    <w:p w:rsidR="002E6823" w:rsidRDefault="002E6823" w:rsidP="002E6823">
      <w:pPr>
        <w:spacing w:after="0" w:line="366" w:lineRule="atLeast"/>
        <w:ind w:firstLine="5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xabarnomasini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olgan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sanadan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boshlab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15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</w:t>
      </w:r>
      <w:proofErr w:type="spellEnd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A409B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obyektni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qabul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6. TARAFLARNING JAVOBGARLIGI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kechiktirilgan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kun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bahosining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foizi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miqdorida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aybdor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zararni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boy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foydani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qoplaydi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6.3.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tugallangandan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soʻng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materiallarni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ketmasa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Buyurtmachi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qurilish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maydonchasi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boʻshatib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sanaga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qadar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Pudratchiga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ishlar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toʻxtatib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6.4. 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Neustoykani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toʻlash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kamchiliklarni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etishdan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ozod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etmaydi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before="65" w:after="0" w:line="240" w:lineRule="auto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lastRenderedPageBreak/>
        <w:t>7. FORS-MAJOR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ixtiyoriga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imkoniyati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(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)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oqibatida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darajada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bajarmaganlik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birortasi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oldida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javobgar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emasdir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Bunday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jumlasiga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epidemiyalar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tabiiy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harbiy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harakatlar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kiradi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  <w:proofErr w:type="gramEnd"/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7.2. 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Tegishli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boshqa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vakolatli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organ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berilgan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guvohnoma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davomiyligini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tasdiqlash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yetarli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hujjatdir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240" w:lineRule="auto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7.3. 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majburiyatlarini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olmayotgan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mavjudligi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majburiyatlarni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bajarishga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taʼsiri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xabarnoma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berishi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lozim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443B2F" w:rsidRDefault="002E6823" w:rsidP="00A409B3">
      <w:pPr>
        <w:spacing w:after="0" w:line="367" w:lineRule="atLeast"/>
        <w:ind w:firstLine="56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7.4. Agar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yengib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kuch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holatlari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uzluksiz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ab/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ru-RU"/>
        </w:rPr>
        <w:t xml:space="preserve">   </w:t>
      </w: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oy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davomida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amal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tursa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yaqin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muddat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ichida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ehtimoli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boʻlmasa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taraflardan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birining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tashabbusi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ikkinchi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tarafga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yozma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bildirishnoma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qilinishi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mumkin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FE5BE6" w:rsidRDefault="002E6823" w:rsidP="002E6823">
      <w:pPr>
        <w:spacing w:after="0" w:line="367" w:lineRule="atLeast"/>
        <w:ind w:firstLine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8. NIZOLARNI HAL QILISH TARTIBI</w:t>
      </w:r>
      <w:bookmarkStart w:id="0" w:name="_GoBack"/>
      <w:bookmarkEnd w:id="0"/>
    </w:p>
    <w:p w:rsidR="002E6823" w:rsidRPr="00FE5BE6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8.1. 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Ushbu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boʻyicha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yoki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u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bogʻliq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holda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chiqadigan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ziddiyatlar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oʻrtasida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etiladi</w:t>
      </w:r>
      <w:proofErr w:type="spellEnd"/>
      <w:r w:rsidRPr="00FE5BE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Pr="002E6823" w:rsidRDefault="002E6823" w:rsidP="002E6823">
      <w:pPr>
        <w:spacing w:after="0" w:line="240" w:lineRule="auto"/>
        <w:ind w:right="3" w:firstLine="566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8.2. 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Muzokaralar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borish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yoʻli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bilan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nizolarni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qilishga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erishilmagan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taqdirda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mazkur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shartnomaning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shartlarining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oʻzgarishi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buzilishi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ijro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etilishi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bekor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boʻlishi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tugatilishi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haqiqiyligi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yuzasidan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chiquvchi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barcha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nizolar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kelishmovchiliklar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talablar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Oʻzbekiston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Respublikasi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Savdo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-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sanoat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palatasi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huzuridagi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uning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Reglamentiga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asosan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sudyasi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tomonidan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yakka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tartibda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koʻrib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chiqiladi</w:t>
      </w:r>
      <w:proofErr w:type="spellEnd"/>
      <w:r w:rsidRPr="00E823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.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Hakamlik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sudining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hal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qiluv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qarori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taraflar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uchun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qatʼiy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proofErr w:type="gram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va</w:t>
      </w:r>
      <w:proofErr w:type="spellEnd"/>
      <w:proofErr w:type="gram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majburiy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hisoblanadi</w:t>
      </w:r>
      <w:proofErr w:type="spellEnd"/>
      <w:r w:rsidRPr="002E6823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.</w:t>
      </w:r>
    </w:p>
    <w:p w:rsidR="002E6823" w:rsidRDefault="002E6823" w:rsidP="002E6823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</w:pPr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9. 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Taraflarning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rekvizitlari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va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imzolari</w:t>
      </w:r>
      <w:proofErr w:type="spellEnd"/>
      <w:r w:rsidRPr="002E68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4777"/>
      </w:tblGrid>
      <w:tr w:rsidR="002D0371" w:rsidRPr="00C83DB5" w:rsidTr="00BC57D1">
        <w:trPr>
          <w:trHeight w:val="283"/>
        </w:trPr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Pudratchi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___________________________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STIR______________________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(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vakolatli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shaxs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F.I.Sh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.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va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imzosi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 w:eastAsia="ru-RU"/>
              </w:rPr>
              <w:t>)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5" w:type="dxa"/>
              <w:left w:w="100" w:type="dxa"/>
              <w:bottom w:w="15" w:type="dxa"/>
              <w:right w:w="100" w:type="dxa"/>
            </w:tcMar>
            <w:hideMark/>
          </w:tcPr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Buyurtmachi</w:t>
            </w:r>
            <w:proofErr w:type="spellEnd"/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:</w:t>
            </w:r>
          </w:p>
          <w:p w:rsidR="002E6823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Beshariq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tumani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Obodonlashtirish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boshqarmasi</w:t>
            </w:r>
            <w:proofErr w:type="spellEnd"/>
          </w:p>
          <w:p w:rsidR="00E868BF" w:rsidRPr="00E868BF" w:rsidRDefault="00E868BF" w:rsidP="00E868BF">
            <w:pPr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         </w:t>
            </w:r>
            <w:proofErr w:type="spellStart"/>
            <w:r w:rsidRPr="003B526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Manzil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: </w:t>
            </w:r>
            <w:r>
              <w:rPr>
                <w:lang w:val="uz-Cyrl-UZ"/>
              </w:rPr>
              <w:t>Beshariq sh</w:t>
            </w:r>
            <w:r w:rsidR="00FF5627">
              <w:rPr>
                <w:lang w:val="en-US"/>
              </w:rPr>
              <w:t>.</w:t>
            </w:r>
            <w:r>
              <w:rPr>
                <w:lang w:val="uz-Cyrl-UZ"/>
              </w:rPr>
              <w:t>, Oltin Vodi</w:t>
            </w:r>
            <w:r>
              <w:rPr>
                <w:lang w:val="en-US"/>
              </w:rPr>
              <w:t xml:space="preserve">y </w:t>
            </w:r>
            <w:r w:rsidR="00823DC5">
              <w:rPr>
                <w:lang w:val="en-US"/>
              </w:rPr>
              <w:t xml:space="preserve">k., </w:t>
            </w:r>
            <w:r w:rsidRPr="00EE4224">
              <w:rPr>
                <w:lang w:val="uz-Cyrl-UZ"/>
              </w:rPr>
              <w:t>114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Hisob-kitob</w:t>
            </w:r>
            <w:proofErr w:type="spellEnd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raqami</w:t>
            </w:r>
            <w:proofErr w:type="spellEnd"/>
          </w:p>
          <w:p w:rsidR="00BC57D1" w:rsidRPr="00916F6A" w:rsidRDefault="00975C92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401722860302157065200110012</w:t>
            </w:r>
          </w:p>
          <w:p w:rsid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916F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  <w:t>STIR</w:t>
            </w:r>
            <w:r w:rsidR="00916F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206994051</w:t>
            </w:r>
            <w:r w:rsidR="0090672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MFO 00014</w:t>
            </w:r>
          </w:p>
          <w:p w:rsidR="0090672C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OKOD 92930</w:t>
            </w:r>
          </w:p>
          <w:p w:rsidR="0090672C" w:rsidRPr="002E6823" w:rsidRDefault="0090672C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Markaziy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bank Toshkent HKKMM</w:t>
            </w:r>
          </w:p>
          <w:p w:rsidR="003B5268" w:rsidRDefault="003B5268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</w:p>
          <w:p w:rsidR="002D0371" w:rsidRPr="0090672C" w:rsidRDefault="002D0371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Boshliq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___________ </w:t>
            </w:r>
            <w:proofErr w:type="spellStart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>Nasipov</w:t>
            </w:r>
            <w:proofErr w:type="spellEnd"/>
            <w:r w:rsidRPr="0090672C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 w:eastAsia="ru-RU"/>
              </w:rPr>
              <w:t xml:space="preserve"> N.</w:t>
            </w:r>
          </w:p>
          <w:p w:rsidR="002E6823" w:rsidRPr="002E6823" w:rsidRDefault="002E6823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2E68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 </w:t>
            </w:r>
          </w:p>
        </w:tc>
      </w:tr>
      <w:tr w:rsidR="00E868BF" w:rsidRPr="00C83DB5" w:rsidTr="00A409B3">
        <w:tc>
          <w:tcPr>
            <w:tcW w:w="4778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00" w:type="dxa"/>
              <w:bottom w:w="15" w:type="dxa"/>
              <w:right w:w="100" w:type="dxa"/>
            </w:tcMar>
          </w:tcPr>
          <w:p w:rsidR="00E868BF" w:rsidRPr="00916F6A" w:rsidRDefault="00E868BF" w:rsidP="002E6823">
            <w:pPr>
              <w:spacing w:after="0" w:line="240" w:lineRule="auto"/>
              <w:ind w:left="70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en-US" w:eastAsia="ru-RU"/>
              </w:rPr>
            </w:pPr>
          </w:p>
        </w:tc>
      </w:tr>
    </w:tbl>
    <w:p w:rsidR="00915824" w:rsidRPr="002E6823" w:rsidRDefault="00975C92">
      <w:pPr>
        <w:rPr>
          <w:lang w:val="en-US"/>
        </w:rPr>
      </w:pPr>
    </w:p>
    <w:sectPr w:rsidR="00915824" w:rsidRPr="002E6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23"/>
    <w:rsid w:val="000F0119"/>
    <w:rsid w:val="001413A1"/>
    <w:rsid w:val="001B74BD"/>
    <w:rsid w:val="002D0371"/>
    <w:rsid w:val="002E6823"/>
    <w:rsid w:val="00330A9F"/>
    <w:rsid w:val="003B3A11"/>
    <w:rsid w:val="003B5268"/>
    <w:rsid w:val="003D249F"/>
    <w:rsid w:val="00443B2F"/>
    <w:rsid w:val="004F0C15"/>
    <w:rsid w:val="00664A55"/>
    <w:rsid w:val="00823DC5"/>
    <w:rsid w:val="00852BA7"/>
    <w:rsid w:val="00893EF5"/>
    <w:rsid w:val="0090672C"/>
    <w:rsid w:val="00916F6A"/>
    <w:rsid w:val="00975C92"/>
    <w:rsid w:val="00A34EAE"/>
    <w:rsid w:val="00A409B3"/>
    <w:rsid w:val="00A46733"/>
    <w:rsid w:val="00A90D2D"/>
    <w:rsid w:val="00AA6A35"/>
    <w:rsid w:val="00BC57D1"/>
    <w:rsid w:val="00C83DB5"/>
    <w:rsid w:val="00CF4543"/>
    <w:rsid w:val="00D57DD4"/>
    <w:rsid w:val="00E823D2"/>
    <w:rsid w:val="00E868BF"/>
    <w:rsid w:val="00EC276B"/>
    <w:rsid w:val="00FE5BE6"/>
    <w:rsid w:val="00FF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B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05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1036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2022-08-31T04:23:00Z</dcterms:created>
  <dcterms:modified xsi:type="dcterms:W3CDTF">2022-08-31T11:43:00Z</dcterms:modified>
</cp:coreProperties>
</file>