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50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3063"/>
        <w:gridCol w:w="638"/>
        <w:gridCol w:w="792"/>
        <w:gridCol w:w="774"/>
        <w:gridCol w:w="844"/>
        <w:gridCol w:w="708"/>
        <w:gridCol w:w="1134"/>
        <w:gridCol w:w="567"/>
        <w:gridCol w:w="1898"/>
        <w:gridCol w:w="15"/>
        <w:gridCol w:w="6717"/>
      </w:tblGrid>
      <w:tr w:rsidR="00BF3A2E" w:rsidRPr="00BF3A2E" w:rsidTr="00CF0B8E">
        <w:trPr>
          <w:gridAfter w:val="1"/>
          <w:wAfter w:w="6717" w:type="dxa"/>
          <w:trHeight w:val="74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Тадқиқот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A2E" w:rsidRPr="00BF3A2E" w:rsidTr="00CF0B8E">
        <w:trPr>
          <w:gridAfter w:val="1"/>
          <w:wAfter w:w="6717" w:type="dxa"/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E968AF" w:rsidP="00D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1/202</w:t>
            </w:r>
            <w:r w:rsidR="00DA030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BF3A2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BF3A2E"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ШАРТНОМА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22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22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B8E" w:rsidRPr="00BF3A2E" w:rsidTr="004B2E23">
        <w:trPr>
          <w:gridAfter w:val="1"/>
          <w:wAfter w:w="6717" w:type="dxa"/>
          <w:trHeight w:val="31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B8E" w:rsidRPr="00BF3A2E" w:rsidRDefault="00CF0B8E" w:rsidP="00DA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DA030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" __________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8E" w:rsidRPr="00BF3A2E" w:rsidRDefault="00CF0B8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8E" w:rsidRPr="00BF3A2E" w:rsidRDefault="00CF0B8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8E" w:rsidRPr="00BF3A2E" w:rsidRDefault="00CF0B8E" w:rsidP="00E968AF">
            <w:pPr>
              <w:spacing w:after="0" w:line="240" w:lineRule="auto"/>
              <w:ind w:left="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вилояти Юқори Чирчиқ тумани</w:t>
            </w:r>
          </w:p>
        </w:tc>
      </w:tr>
      <w:tr w:rsidR="00BF3A2E" w:rsidRPr="00BF3A2E" w:rsidTr="00CF0B8E">
        <w:trPr>
          <w:gridAfter w:val="1"/>
          <w:wAfter w:w="6717" w:type="dxa"/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405"/>
        </w:trPr>
        <w:tc>
          <w:tcPr>
            <w:tcW w:w="104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A2E" w:rsidRPr="00BF3A2E" w:rsidRDefault="002A5D03" w:rsidP="00DA0302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31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давлат аграр университети хузуридаги </w:t>
            </w:r>
            <w:r w:rsidRPr="00BC31B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“Қишлоқ хўжалиги экинлари уруғчилиги ва уруғшунослиги маркази”</w:t>
            </w:r>
            <w:r w:rsidRPr="00BC31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директори Б. Мамарахимов </w:t>
            </w:r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кейинги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ўринларда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номланувчи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F3A2E" w:rsidRPr="00BF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Низом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юритиб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softHyphen/>
            </w:r>
            <w:r w:rsidR="00DA0302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________________________________ ____________________________ </w:t>
            </w:r>
            <w:r w:rsidRPr="00BC31B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хужалиги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BC31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рахбари </w:t>
            </w:r>
            <w:r w:rsidR="00DA03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</w:t>
            </w:r>
            <w:r w:rsidRPr="00BC31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кейинги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ўринларда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Бажарувчи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номланувчи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низоми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юритиб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туздилар</w:t>
            </w:r>
            <w:proofErr w:type="spellEnd"/>
            <w:r w:rsidR="00BF3A2E"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509"/>
        </w:trPr>
        <w:tc>
          <w:tcPr>
            <w:tcW w:w="104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509"/>
        </w:trPr>
        <w:tc>
          <w:tcPr>
            <w:tcW w:w="104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509"/>
        </w:trPr>
        <w:tc>
          <w:tcPr>
            <w:tcW w:w="104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509"/>
        </w:trPr>
        <w:tc>
          <w:tcPr>
            <w:tcW w:w="104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31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Default="00BF3A2E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ШАРТНОМА ПРЕДМЕТИ</w:t>
            </w:r>
          </w:p>
          <w:p w:rsidR="00CF0B8E" w:rsidRPr="00BF3A2E" w:rsidRDefault="00CF0B8E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trHeight w:val="236"/>
        </w:trPr>
        <w:tc>
          <w:tcPr>
            <w:tcW w:w="10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DA0302" w:rsidRDefault="00BF3A2E" w:rsidP="00BF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ФЗ-202001303, “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Навдорлик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стандарти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талаблари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асосида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янги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истиқболли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ғўза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навларининг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бирламчи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уруғчилигини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ташкил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этиш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етиштириш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ҳудудига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мос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агротехнологияларини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яратиш</w:t>
            </w:r>
            <w:proofErr w:type="spellEnd"/>
            <w:r w:rsidR="00FC4D21" w:rsidRPr="002A5D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”</w:t>
            </w:r>
            <w:r w:rsidR="00DA0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 xml:space="preserve">  </w:t>
            </w:r>
            <w:proofErr w:type="gramEnd"/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F3A2E" w:rsidRPr="00BF3A2E" w:rsidTr="00CF0B8E">
        <w:trPr>
          <w:gridAfter w:val="1"/>
          <w:wAfter w:w="6717" w:type="dxa"/>
          <w:trHeight w:val="1164"/>
        </w:trPr>
        <w:tc>
          <w:tcPr>
            <w:tcW w:w="10433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F0B8E" w:rsidRDefault="00CF0B8E" w:rsidP="00411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мавзусида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тадқиқот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proofErr w:type="gram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B8E" w:rsidRDefault="00CF0B8E" w:rsidP="00411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A2E" w:rsidRPr="004113D9" w:rsidRDefault="00CF0B8E" w:rsidP="00411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</w:pP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0B8E" w:rsidRPr="00BF3A2E" w:rsidTr="00CF0B8E">
        <w:trPr>
          <w:gridAfter w:val="1"/>
          <w:wAfter w:w="6717" w:type="dxa"/>
          <w:trHeight w:val="34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F0B8E" w:rsidRPr="00BF3A2E" w:rsidRDefault="00CF0B8E" w:rsidP="00DA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тадқиқот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вақти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B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2</w:t>
            </w:r>
            <w:r w:rsidR="00DA0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2</w:t>
            </w:r>
            <w:r w:rsidRPr="00071B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B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йил</w:t>
            </w:r>
            <w:proofErr w:type="spellEnd"/>
          </w:p>
        </w:tc>
      </w:tr>
      <w:tr w:rsidR="00BF3A2E" w:rsidRPr="00BF3A2E" w:rsidTr="00CF0B8E">
        <w:trPr>
          <w:gridAfter w:val="1"/>
          <w:wAfter w:w="6717" w:type="dxa"/>
          <w:trHeight w:val="64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07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босқичларининг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вақти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тақвимий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61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баҳолаш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асосланмаси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бандларига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383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маҳсулотдан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суғорма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дехқончилик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соҳасида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фойдаланилади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31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F2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ШАРТНОМА ИШИНИНГ БАҲОСИ ВА ҲИСОБ-КИТОБ ТАРТИБИ</w:t>
            </w:r>
          </w:p>
        </w:tc>
      </w:tr>
      <w:tr w:rsidR="00BF3A2E" w:rsidRPr="00BF3A2E" w:rsidTr="00CF0B8E">
        <w:trPr>
          <w:gridAfter w:val="1"/>
          <w:wAfter w:w="6717" w:type="dxa"/>
          <w:trHeight w:val="73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071B5E" w:rsidRDefault="00BF3A2E" w:rsidP="0055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1-иловасидаги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тўғрисидаги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</w:t>
            </w:r>
            <w:r w:rsidR="00FC4D2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5538D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bookmarkStart w:id="0" w:name="_GoBack"/>
            <w:bookmarkEnd w:id="0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-йилда </w:t>
            </w:r>
            <w:r w:rsidR="00FC4D2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</w:tr>
      <w:tr w:rsidR="00CF7C97" w:rsidRPr="00BF3A2E" w:rsidTr="00AF6A32">
        <w:trPr>
          <w:gridAfter w:val="1"/>
          <w:wAfter w:w="6717" w:type="dxa"/>
          <w:trHeight w:val="360"/>
        </w:trPr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97" w:rsidRPr="00FC4D21" w:rsidRDefault="00CF7C97" w:rsidP="00CF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______________________________________________ _______________________________________________________________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97" w:rsidRPr="00FC4D21" w:rsidRDefault="00CF7C97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C4D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сўм</w:t>
            </w:r>
            <w:proofErr w:type="spellEnd"/>
            <w:r w:rsidRPr="00FC4D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C4D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ўтказади</w:t>
            </w:r>
            <w:proofErr w:type="spellEnd"/>
            <w:r w:rsidRPr="00FC4D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29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21" w:rsidRDefault="00FC4D21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A2E" w:rsidRP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босқичма-босқич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900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C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имзолангандан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кейин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ига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маблағни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Бажарувчи"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F3A2E" w:rsidRPr="00BF3A2E" w:rsidTr="00CF0B8E">
        <w:trPr>
          <w:gridAfter w:val="1"/>
          <w:wAfter w:w="6717" w:type="dxa"/>
          <w:trHeight w:val="660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CF7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-фактура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далолатномаларига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ўзаро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312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БАЖАРИЛГАН ИШЛАРНИ ТОПШИРИШ ВА ҚАБУЛ ҚИЛИШ ТАРТИБИ</w:t>
            </w:r>
          </w:p>
        </w:tc>
      </w:tr>
      <w:tr w:rsidR="00BF3A2E" w:rsidRPr="00BF3A2E" w:rsidTr="00CF0B8E">
        <w:trPr>
          <w:gridAfter w:val="1"/>
          <w:wAfter w:w="6717" w:type="dxa"/>
          <w:trHeight w:val="643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бажарилишининг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алоҳида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босқичларида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тақвимий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тарзда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ахборот-ҳисобот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кўринишида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тақдим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топшириш-қабул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далолатномаси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ҳисоб-фактураси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ҳужжатлаштирилади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38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Тадқиқот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бажарилгандан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кейин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Буюртмачи"га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тақдим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53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07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Тадқиқот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муддатидан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муддатидан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ҳуқуқига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F3A2E" w:rsidRPr="00BF3A2E" w:rsidTr="00CF0B8E">
        <w:trPr>
          <w:gridAfter w:val="1"/>
          <w:wAfter w:w="6717" w:type="dxa"/>
          <w:trHeight w:val="1506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071B5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3.4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Тадқиқот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салбий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муқаррарлиги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эттиришнинг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эмаслиги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аниқланса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тўхтатиши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тўхтатилган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Буюртмачи"га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ҳолатда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эттиришнинг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мувофиқлиги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саласини</w:t>
            </w:r>
            <w:proofErr w:type="spellEnd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чиқишлари</w:t>
            </w:r>
            <w:proofErr w:type="spellEnd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лозим</w:t>
            </w:r>
            <w:proofErr w:type="spellEnd"/>
            <w:r w:rsidR="0007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31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AF" w:rsidRDefault="00E968AF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3A2E" w:rsidRPr="00BF3A2E" w:rsidRDefault="00BF3A2E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ТОМОНЛАРНИНГ ЖАВОБГАРЛИГИ</w:t>
            </w:r>
          </w:p>
        </w:tc>
      </w:tr>
      <w:tr w:rsidR="00BF3A2E" w:rsidRPr="00BF3A2E" w:rsidTr="00CF0B8E">
        <w:trPr>
          <w:gridAfter w:val="1"/>
          <w:wAfter w:w="6717" w:type="dxa"/>
          <w:trHeight w:val="670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Ушбу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бажарилмаганлиги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жавобгар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бўладилар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1200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жараёнида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этадиган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форс-мажор (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офатлар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ҳолатлар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келганлиги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туфайли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proofErr w:type="gram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қолса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Бажарувчи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жавобгар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бўлмайдилар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31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A2E" w:rsidRPr="00BF3A2E" w:rsidRDefault="00BF3A2E" w:rsidP="00B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БОШҚА ШАРТЛАР</w:t>
            </w:r>
          </w:p>
        </w:tc>
      </w:tr>
      <w:tr w:rsidR="00BF3A2E" w:rsidRPr="00BF3A2E" w:rsidTr="00CF0B8E">
        <w:trPr>
          <w:gridAfter w:val="1"/>
          <w:wAfter w:w="6717" w:type="dxa"/>
          <w:trHeight w:val="960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Pr="00BF3A2E" w:rsidRDefault="00BF3A2E" w:rsidP="00FE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доирасида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яратилган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илмий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қонунларига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риоя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муносабатда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бўладилар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ҳуқуқли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эгалик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қиладирлар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3A2E" w:rsidRPr="00BF3A2E" w:rsidTr="00CF0B8E">
        <w:trPr>
          <w:gridAfter w:val="1"/>
          <w:wAfter w:w="6717" w:type="dxa"/>
          <w:trHeight w:val="315"/>
        </w:trPr>
        <w:tc>
          <w:tcPr>
            <w:tcW w:w="10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A2E" w:rsidRDefault="00BF3A2E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ўзаро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қўшимча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қўлланилиши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B58" w:rsidRDefault="00372B58" w:rsidP="0037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ШАРТНОМАНИНГ АМАЛ ҚИЛИШ МУДДАТИ ВА ТОМОНЛАРНИНГ ҲУҚУҚИЙ МАНЗИЛЛАРИ</w:t>
            </w:r>
          </w:p>
          <w:p w:rsidR="00E968AF" w:rsidRDefault="00E968AF" w:rsidP="00E9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манзиллари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рақамлари</w:t>
            </w:r>
            <w:proofErr w:type="spellEnd"/>
            <w:r w:rsidRPr="00BF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2B58" w:rsidRDefault="00372B58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1"/>
              <w:gridCol w:w="5101"/>
            </w:tblGrid>
            <w:tr w:rsidR="00E968AF" w:rsidTr="00E968AF">
              <w:tc>
                <w:tcPr>
                  <w:tcW w:w="5101" w:type="dxa"/>
                </w:tcPr>
                <w:p w:rsidR="00E968AF" w:rsidRDefault="00E968AF" w:rsidP="00E968A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3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BF3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Буюртмачи</w:t>
                  </w:r>
                  <w:proofErr w:type="spellEnd"/>
                  <w:r w:rsidRPr="00BF3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E968AF" w:rsidRDefault="00E968AF" w:rsidP="00E968A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z-Cyrl-UZ" w:eastAsia="ru-RU"/>
                    </w:rPr>
                  </w:pPr>
                </w:p>
                <w:p w:rsidR="00E968AF" w:rsidRPr="00BC31B8" w:rsidRDefault="00E968AF" w:rsidP="00E968AF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z-Cyrl-UZ" w:eastAsia="ru-RU"/>
                    </w:rPr>
                  </w:pPr>
                  <w:r w:rsidRPr="00BC31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z-Cyrl-UZ" w:eastAsia="ru-RU"/>
                    </w:rPr>
                    <w:t>ТошДАУ хузуридаги “Қишлоқ хўжалиги экинлари уруғчилиги ва уруғшунослиги маркази”</w:t>
                  </w:r>
                </w:p>
                <w:p w:rsidR="00E968AF" w:rsidRDefault="00E968AF" w:rsidP="00E968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AD3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Манзил: </w:t>
                  </w:r>
                  <w:r w:rsidRPr="00BC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Тошкент вилояти, Юқори чирчиқ тумани, А.Ясаавий МФЙ, Ш.Рашидов кўчаси 1-уй</w:t>
                  </w:r>
                  <w:r w:rsidRPr="00AD3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</w:p>
                <w:p w:rsidR="00E968AF" w:rsidRPr="00AD34FD" w:rsidRDefault="00E968AF" w:rsidP="00E968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AD3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ОПЕРУ КАЗНАЧЕЙСТВА МИН.ФИН.РУз</w:t>
                  </w:r>
                </w:p>
                <w:p w:rsidR="00E968AF" w:rsidRDefault="00E968AF" w:rsidP="00E968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</w:t>
                  </w:r>
                  <w:proofErr w:type="spellEnd"/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23402000300100001010</w:t>
                  </w:r>
                </w:p>
                <w:p w:rsidR="00E968AF" w:rsidRPr="00BC31B8" w:rsidRDefault="00E968AF" w:rsidP="00E968A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Лиц.счет:</w:t>
                  </w:r>
                  <w:r w:rsidR="00CF7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="00CF7C97" w:rsidRPr="00CF7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302810860272397048230254001</w:t>
                  </w:r>
                </w:p>
                <w:p w:rsidR="00E968AF" w:rsidRDefault="00E968AF" w:rsidP="00E968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 ББ ХККМ </w:t>
                  </w:r>
                  <w:proofErr w:type="spellStart"/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ш. </w:t>
                  </w:r>
                </w:p>
                <w:p w:rsidR="00E968AF" w:rsidRDefault="00E968AF" w:rsidP="00E968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МФО: 00014 </w:t>
                  </w:r>
                </w:p>
                <w:p w:rsidR="00E968AF" w:rsidRDefault="00E968AF" w:rsidP="00E968A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3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 201122919</w:t>
                  </w:r>
                </w:p>
                <w:p w:rsidR="00E968AF" w:rsidRDefault="00E968AF" w:rsidP="00BF3A2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Директор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proofErr w:type="spellStart"/>
                  <w:r w:rsidRPr="00CF0B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Мамарахимов</w:t>
                  </w:r>
                  <w:proofErr w:type="spellEnd"/>
                  <w:r w:rsidRPr="00CF0B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Б.</w:t>
                  </w:r>
                </w:p>
                <w:p w:rsidR="00E968AF" w:rsidRPr="00E968AF" w:rsidRDefault="00E968AF" w:rsidP="00BF3A2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Ў.</w:t>
                  </w:r>
                </w:p>
                <w:p w:rsidR="00E968AF" w:rsidRDefault="00E968AF" w:rsidP="00BF3A2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968AF" w:rsidRDefault="00E968AF" w:rsidP="00BF3A2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1" w:type="dxa"/>
                </w:tcPr>
                <w:p w:rsidR="00E968AF" w:rsidRDefault="00E968AF" w:rsidP="00E968A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z-Cyrl-UZ" w:eastAsia="ru-RU"/>
                    </w:rPr>
                    <w:t>“</w:t>
                  </w:r>
                  <w:proofErr w:type="spellStart"/>
                  <w:r w:rsidRPr="00BF3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Бажарувчи</w:t>
                  </w:r>
                  <w:proofErr w:type="spellEnd"/>
                  <w:r w:rsidRPr="00BF3A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E968AF" w:rsidRDefault="00E968AF" w:rsidP="00E968AF">
                  <w:pPr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</w:p>
                <w:p w:rsidR="00E968AF" w:rsidRDefault="00CF7C97" w:rsidP="00E968AF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  <w:t>________________________________________________________________________________</w:t>
                  </w:r>
                </w:p>
                <w:p w:rsidR="00E968AF" w:rsidRPr="00BC31B8" w:rsidRDefault="00CF7C97" w:rsidP="00E968A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968AF" w:rsidRPr="00BC31B8" w:rsidRDefault="00E968AF" w:rsidP="00E968A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</w:p>
                <w:p w:rsidR="00E968AF" w:rsidRDefault="00E968AF" w:rsidP="00E968AF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</w:p>
                <w:p w:rsidR="00CF7C97" w:rsidRDefault="00E968AF" w:rsidP="00CF7C9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BC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Рахбар____________ </w:t>
                  </w:r>
                </w:p>
                <w:p w:rsidR="00E968AF" w:rsidRDefault="00E968AF" w:rsidP="00CF7C9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М.Ў</w:t>
                  </w:r>
                </w:p>
              </w:tc>
            </w:tr>
          </w:tbl>
          <w:p w:rsidR="00372B58" w:rsidRDefault="00372B58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AF" w:rsidRDefault="00E968AF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AF" w:rsidRDefault="00E968AF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AF" w:rsidRDefault="00E968AF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AF" w:rsidRDefault="00E968AF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8AF" w:rsidRPr="00BF3A2E" w:rsidRDefault="00E968AF" w:rsidP="00BF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B58" w:rsidRDefault="00372B58" w:rsidP="00BF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72B58" w:rsidSect="00F26301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p w:rsidR="00372B58" w:rsidRDefault="00372B58" w:rsidP="0037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2B58" w:rsidSect="00372B58">
          <w:type w:val="continuous"/>
          <w:pgSz w:w="11906" w:h="16838"/>
          <w:pgMar w:top="993" w:right="851" w:bottom="851" w:left="1134" w:header="709" w:footer="709" w:gutter="0"/>
          <w:cols w:num="2" w:space="708"/>
          <w:docGrid w:linePitch="360"/>
        </w:sectPr>
      </w:pPr>
    </w:p>
    <w:p w:rsidR="00B42469" w:rsidRDefault="00B42469" w:rsidP="00372B58"/>
    <w:sectPr w:rsidR="00B42469" w:rsidSect="00372B58">
      <w:type w:val="continuous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2E"/>
    <w:rsid w:val="00056822"/>
    <w:rsid w:val="00071B5E"/>
    <w:rsid w:val="000F323C"/>
    <w:rsid w:val="001433AA"/>
    <w:rsid w:val="001564B6"/>
    <w:rsid w:val="00205C04"/>
    <w:rsid w:val="002A0A60"/>
    <w:rsid w:val="002A5D03"/>
    <w:rsid w:val="00305479"/>
    <w:rsid w:val="00372B58"/>
    <w:rsid w:val="004113D9"/>
    <w:rsid w:val="005538DE"/>
    <w:rsid w:val="00574B2A"/>
    <w:rsid w:val="005C7E86"/>
    <w:rsid w:val="006A4B81"/>
    <w:rsid w:val="006B051C"/>
    <w:rsid w:val="00720A8D"/>
    <w:rsid w:val="008855C5"/>
    <w:rsid w:val="00972CEC"/>
    <w:rsid w:val="009E4BF9"/>
    <w:rsid w:val="00AD34FD"/>
    <w:rsid w:val="00B42469"/>
    <w:rsid w:val="00BF3A2E"/>
    <w:rsid w:val="00C227C2"/>
    <w:rsid w:val="00C34EB6"/>
    <w:rsid w:val="00C92AF0"/>
    <w:rsid w:val="00CF0B8E"/>
    <w:rsid w:val="00CF7C97"/>
    <w:rsid w:val="00DA0302"/>
    <w:rsid w:val="00E968AF"/>
    <w:rsid w:val="00F25CA1"/>
    <w:rsid w:val="00F26301"/>
    <w:rsid w:val="00FC4D21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551EE-3DDF-4FC4-9404-9D1B0E0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822"/>
    <w:pPr>
      <w:widowControl w:val="0"/>
      <w:autoSpaceDE w:val="0"/>
      <w:autoSpaceDN w:val="0"/>
      <w:spacing w:after="0" w:line="240" w:lineRule="auto"/>
      <w:ind w:left="679" w:hanging="567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E9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8020-4A0E-46D5-BE57-B8553924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Учетная запись Майкрософт</cp:lastModifiedBy>
  <cp:revision>4</cp:revision>
  <dcterms:created xsi:type="dcterms:W3CDTF">2021-08-24T14:21:00Z</dcterms:created>
  <dcterms:modified xsi:type="dcterms:W3CDTF">2022-08-10T09:49:00Z</dcterms:modified>
</cp:coreProperties>
</file>