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3" w:rsidRPr="00443B2F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</w:p>
    <w:p w:rsidR="002E6823" w:rsidRPr="002E6823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2E6823" w:rsidRPr="002E6823" w:rsidRDefault="00330A9F" w:rsidP="00AA6A3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Beshariq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Obodonlashtirish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Nasipov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keying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tuzdilar:</w:t>
      </w:r>
    </w:p>
    <w:p w:rsidR="00011FD7" w:rsidRDefault="00011FD7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011FD7" w:rsidRDefault="00011FD7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Farg’ona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viloyati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Beshariq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tumani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Eshon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</w:t>
      </w:r>
      <w:r w:rsid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Yuqori</w:t>
      </w:r>
      <w:r w:rsid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zarqaynar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MFY lar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hududida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ichimlik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ta’minotini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yahshilash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maqsadida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3E0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100m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ko’tarish</w:t>
      </w:r>
      <w:proofErr w:type="spellEnd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2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trubalari</w:t>
      </w:r>
      <w:bookmarkStart w:id="0" w:name="_GoBack"/>
      <w:proofErr w:type="spellEnd"/>
      <w:r w:rsidR="003E0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(12ta </w:t>
      </w:r>
      <w:proofErr w:type="spellStart"/>
      <w:r w:rsidR="003E0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Flanets</w:t>
      </w:r>
      <w:proofErr w:type="spellEnd"/>
      <w:r w:rsidR="003E0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2ta </w:t>
      </w:r>
      <w:proofErr w:type="spellStart"/>
      <w:r w:rsidR="003E0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zadvijka</w:t>
      </w:r>
      <w:proofErr w:type="spellEnd"/>
      <w:r w:rsidR="003E0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</w:t>
      </w:r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3kg 14mm </w:t>
      </w:r>
      <w:proofErr w:type="spellStart"/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o’lchamdagi</w:t>
      </w:r>
      <w:proofErr w:type="spellEnd"/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bolt-</w:t>
      </w:r>
      <w:proofErr w:type="spellStart"/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gaykalari</w:t>
      </w:r>
      <w:proofErr w:type="spellEnd"/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bilan</w:t>
      </w:r>
      <w:proofErr w:type="spellEnd"/>
      <w:r w:rsidR="000F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bookmarkEnd w:id="0"/>
      <w:r w:rsid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etkazib</w:t>
      </w:r>
      <w:proofErr w:type="spellEnd"/>
      <w:r w:rsid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berish</w:t>
      </w:r>
      <w:proofErr w:type="spellEnd"/>
      <w:r w:rsidR="006F2747" w:rsidRPr="006F2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”</w:t>
      </w:r>
      <w:r w:rsidR="00141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11FD7" w:rsidRDefault="00011FD7" w:rsidP="005B795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6823" w:rsidRDefault="002E6823" w:rsidP="005B795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011FD7" w:rsidRPr="002E6823" w:rsidRDefault="00011FD7" w:rsidP="005B795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Default="002E6823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Tanlov</w:t>
      </w:r>
      <w:proofErr w:type="spellEnd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yakunlariga</w:t>
      </w:r>
      <w:proofErr w:type="spellEnd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</w:t>
      </w:r>
      <w:proofErr w:type="gramEnd"/>
      <w:r w:rsidR="00017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____________________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11FD7" w:rsidRPr="002E6823" w:rsidRDefault="00011FD7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Default="002E6823" w:rsidP="005B7953">
      <w:pPr>
        <w:spacing w:after="0" w:line="367" w:lineRule="atLeast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SHARTLARI</w:t>
      </w:r>
    </w:p>
    <w:p w:rsidR="00011FD7" w:rsidRPr="002E6823" w:rsidRDefault="00011FD7" w:rsidP="005B7953">
      <w:pPr>
        <w:spacing w:after="0" w:line="367" w:lineRule="atLeast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Pr="002E6823" w:rsidRDefault="002E6823" w:rsidP="00E440F7">
      <w:pPr>
        <w:spacing w:after="0" w:line="367" w:lineRule="atLeast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4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electron </w:t>
      </w:r>
      <w:proofErr w:type="spellStart"/>
      <w:r w:rsidR="00E4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shaklda</w:t>
      </w:r>
      <w:proofErr w:type="spellEnd"/>
      <w:r w:rsidR="00E4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XKKP </w:t>
      </w:r>
      <w:proofErr w:type="spellStart"/>
      <w:r w:rsidR="00E4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</w:p>
    <w:p w:rsidR="002E6823" w:rsidRPr="002E6823" w:rsidRDefault="002E6823" w:rsidP="00664A55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</w:t>
      </w:r>
      <w:proofErr w:type="spellEnd"/>
    </w:p>
    <w:p w:rsidR="00E440F7" w:rsidRDefault="00E440F7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6823" w:rsidRDefault="002E6823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  <w:r w:rsidR="00E4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</w:p>
    <w:p w:rsidR="00011FD7" w:rsidRPr="002E6823" w:rsidRDefault="00011FD7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4.3. 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:rsidR="002E6823" w:rsidRDefault="00174206" w:rsidP="00174206">
      <w:pPr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tarafidan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imzolanib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hududiq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G’aznachilik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bo’limida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ro’yhatga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kuchga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dekabrgacha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E4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443B2F" w:rsidRPr="00443B2F" w:rsidRDefault="00443B2F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011FD7" w:rsidRDefault="00011FD7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="00E4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Etkazib</w:t>
      </w:r>
      <w:proofErr w:type="spellEnd"/>
      <w:r w:rsidR="00E4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4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beruvchi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oʻz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mablagʻlari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mahsulorlarni</w:t>
      </w:r>
      <w:proofErr w:type="spellEnd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tanlov</w:t>
      </w:r>
      <w:proofErr w:type="spellEnd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muddatda shartnomaning 1.1-bandida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bajarganlik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Etkazuvchi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725D3D" w:rsidRDefault="00725D3D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011FD7" w:rsidRPr="00FE5BE6" w:rsidRDefault="00011FD7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725D3D" w:rsidP="002E6823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6.3</w:t>
      </w:r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="002E6823"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25D3D" w:rsidRDefault="00725D3D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6823" w:rsidRDefault="002E6823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:rsidR="00011FD7" w:rsidRPr="00FE5BE6" w:rsidRDefault="00011FD7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3B2F" w:rsidRDefault="002E68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011F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electron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taklif</w:t>
      </w:r>
      <w:proofErr w:type="spellEnd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11FD7" w:rsidRDefault="00011FD7" w:rsidP="002E6823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11FD7" w:rsidRPr="000D243B" w:rsidRDefault="002E6823" w:rsidP="000D243B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:rsidR="002E6823" w:rsidRPr="00FE5BE6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barcha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46D12" w:rsidRDefault="00C46D12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46D12" w:rsidRPr="00C46D12" w:rsidRDefault="00C46D12" w:rsidP="00051E9F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C46D12">
        <w:rPr>
          <w:rFonts w:ascii="Times New Roman" w:hAnsi="Times New Roman" w:cs="Times New Roman"/>
          <w:sz w:val="28"/>
          <w:szCs w:val="28"/>
          <w:lang w:val="en-US"/>
        </w:rPr>
        <w:t>. KORRUPSIYAGA QARSHI SHART</w:t>
      </w:r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affilangan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o‘zaro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bog‘langan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shaxslari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Shartnoma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majburiyatlarini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bajarishlari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korrupsiyaga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sohasidagi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Respublikasining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amaldagi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hujjatlari</w:t>
      </w:r>
      <w:proofErr w:type="spellEnd"/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talablarining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buzilishiga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korrupsiya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xarakteriga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(ammo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cheklanmay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pora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berishni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va’da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ta’magirlik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pora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bilvosita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rozi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bo‘lish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xatti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harakatlari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harakatsizliklarini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etmaydilar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affilangan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o‘zaro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bog‘langan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shaxslari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vakolatlangan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vakillarini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qandaydir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rag‘batlantirishdan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summalari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sovg‘alarni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manziliga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xizmatlarni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beg‘araz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xodim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vakolatlangan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vakil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rag‘batlantiruvchi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foydasiga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qandaydir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xatti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harakatlarni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harakatsizliklar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bajarilishini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ta’minlashga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bajarishdan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voz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kechadilar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qiladilar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Shartnomaning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talablarni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buzish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etilganligi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etilishi</w:t>
      </w:r>
      <w:proofErr w:type="spellEnd"/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mumkinligi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shubhalar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haqda</w:t>
      </w:r>
      <w:proofErr w:type="spellEnd"/>
    </w:p>
    <w:p w:rsidR="00C46D12" w:rsidRPr="00C46D12" w:rsidRDefault="00C46D12" w:rsidP="00051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46D12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proofErr w:type="gram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Tomonni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korrupsiya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sohasidagi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hujjatlarining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normalari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buzilganligi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faktining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rad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etib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bo‘lmaydigan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dalillari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amaldagi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hujjatlarida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vakolatlangan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organlarni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majburiyatini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zimmasiga</w:t>
      </w:r>
      <w:proofErr w:type="spellEnd"/>
      <w:r w:rsidRPr="00C46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6D12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051E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1FD7" w:rsidRPr="002E6823" w:rsidRDefault="00011FD7" w:rsidP="00C46D12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FD7" w:rsidRPr="00011FD7" w:rsidRDefault="002E6823" w:rsidP="00051E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777"/>
      </w:tblGrid>
      <w:tr w:rsidR="002D0371" w:rsidRPr="00852228" w:rsidTr="00011FD7">
        <w:trPr>
          <w:trHeight w:val="283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E6823" w:rsidRPr="002E6823" w:rsidRDefault="002E6823" w:rsidP="000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E6823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Beshariq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Obodonlashtirish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boshqarmasi</w:t>
            </w:r>
            <w:proofErr w:type="spellEnd"/>
          </w:p>
          <w:p w:rsidR="00E868BF" w:rsidRPr="00E868BF" w:rsidRDefault="00E868BF" w:rsidP="00E868B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proofErr w:type="spellStart"/>
            <w:r w:rsidRPr="003B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Manzil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lang w:val="uz-Cyrl-UZ"/>
              </w:rPr>
              <w:t>Beshariq sh</w:t>
            </w:r>
            <w:r w:rsidR="00FF5627">
              <w:rPr>
                <w:lang w:val="en-US"/>
              </w:rPr>
              <w:t>.</w:t>
            </w:r>
            <w:r>
              <w:rPr>
                <w:lang w:val="uz-Cyrl-UZ"/>
              </w:rPr>
              <w:t>, Oltin Vodi</w:t>
            </w:r>
            <w:r>
              <w:rPr>
                <w:lang w:val="en-US"/>
              </w:rPr>
              <w:t xml:space="preserve">y </w:t>
            </w:r>
            <w:r w:rsidR="00823DC5">
              <w:rPr>
                <w:lang w:val="en-US"/>
              </w:rPr>
              <w:t xml:space="preserve">k., </w:t>
            </w:r>
            <w:r w:rsidRPr="00EE4224">
              <w:rPr>
                <w:lang w:val="uz-Cyrl-UZ"/>
              </w:rPr>
              <w:t>114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BC57D1" w:rsidRPr="00916F6A" w:rsidRDefault="003E09E4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0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100022860302157062902110002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STIR</w:t>
            </w:r>
            <w:r w:rsidR="009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206994051</w:t>
            </w:r>
            <w:r w:rsidR="0090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MFO 00014</w:t>
            </w:r>
          </w:p>
          <w:p w:rsidR="0090672C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OKOD 92930</w:t>
            </w:r>
          </w:p>
          <w:p w:rsidR="0090672C" w:rsidRPr="002E6823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 Toshkent HKKMM</w:t>
            </w:r>
          </w:p>
          <w:p w:rsidR="003B5268" w:rsidRDefault="003B5268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2E6823" w:rsidRPr="003E09E4" w:rsidRDefault="002D0371" w:rsidP="003E09E4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lastRenderedPageBreak/>
              <w:t>Boshliq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___________ </w:t>
            </w: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Nasipov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N.</w:t>
            </w:r>
          </w:p>
        </w:tc>
      </w:tr>
    </w:tbl>
    <w:p w:rsidR="00915824" w:rsidRPr="002E6823" w:rsidRDefault="000F197C" w:rsidP="00011FD7">
      <w:pPr>
        <w:rPr>
          <w:lang w:val="en-US"/>
        </w:rPr>
      </w:pPr>
    </w:p>
    <w:sectPr w:rsidR="00915824" w:rsidRPr="002E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3"/>
    <w:rsid w:val="00011FD7"/>
    <w:rsid w:val="00017FB8"/>
    <w:rsid w:val="00051E9F"/>
    <w:rsid w:val="000D243B"/>
    <w:rsid w:val="000F0119"/>
    <w:rsid w:val="000F197C"/>
    <w:rsid w:val="001413A1"/>
    <w:rsid w:val="00174206"/>
    <w:rsid w:val="001B74BD"/>
    <w:rsid w:val="002D0371"/>
    <w:rsid w:val="002E6823"/>
    <w:rsid w:val="00330A9F"/>
    <w:rsid w:val="003B3A11"/>
    <w:rsid w:val="003B5268"/>
    <w:rsid w:val="003D249F"/>
    <w:rsid w:val="003E09E4"/>
    <w:rsid w:val="00443B2F"/>
    <w:rsid w:val="004F0C15"/>
    <w:rsid w:val="005B7953"/>
    <w:rsid w:val="00664A55"/>
    <w:rsid w:val="006F2747"/>
    <w:rsid w:val="00725D3D"/>
    <w:rsid w:val="00823DC5"/>
    <w:rsid w:val="00852228"/>
    <w:rsid w:val="00852BA7"/>
    <w:rsid w:val="00893EF5"/>
    <w:rsid w:val="0090672C"/>
    <w:rsid w:val="00916F6A"/>
    <w:rsid w:val="00975C92"/>
    <w:rsid w:val="00A34EAE"/>
    <w:rsid w:val="00A409B3"/>
    <w:rsid w:val="00A46733"/>
    <w:rsid w:val="00A90D2D"/>
    <w:rsid w:val="00AA6A35"/>
    <w:rsid w:val="00BC57D1"/>
    <w:rsid w:val="00C46D12"/>
    <w:rsid w:val="00C83DB5"/>
    <w:rsid w:val="00CF4543"/>
    <w:rsid w:val="00D57DD4"/>
    <w:rsid w:val="00E440F7"/>
    <w:rsid w:val="00E823D2"/>
    <w:rsid w:val="00E868BF"/>
    <w:rsid w:val="00EC276B"/>
    <w:rsid w:val="00FE5BE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6966-5F9E-4101-8C4B-C78F1A6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2022-08-31T04:23:00Z</dcterms:created>
  <dcterms:modified xsi:type="dcterms:W3CDTF">2022-09-14T02:53:00Z</dcterms:modified>
</cp:coreProperties>
</file>