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 w:rsidRPr="002F6C26">
        <w:rPr>
          <w:sz w:val="20"/>
          <w:szCs w:val="20"/>
          <w:lang w:val="en-US"/>
        </w:rPr>
        <w:t>Joriy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ta’mirlash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Pr="0081735E">
        <w:rPr>
          <w:sz w:val="20"/>
          <w:szCs w:val="20"/>
          <w:lang w:val="uz-Cyrl-UZ"/>
        </w:rPr>
        <w:t xml:space="preserve"> </w:t>
      </w:r>
      <w:proofErr w:type="gramStart"/>
      <w:r>
        <w:rPr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5A0ACB" w:rsidRPr="005A0ACB">
        <w:rPr>
          <w:rFonts w:ascii="Times New Roman" w:hAnsi="Times New Roman" w:cs="Times New Roman"/>
          <w:sz w:val="20"/>
          <w:szCs w:val="20"/>
          <w:lang w:val="uz-Cyrl-UZ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5A0ACB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</w:p>
    <w:p w:rsidR="00803F25" w:rsidRPr="002E2284" w:rsidRDefault="00803F25" w:rsidP="003F6B80">
      <w:pPr>
        <w:pStyle w:val="2"/>
        <w:numPr>
          <w:ilvl w:val="1"/>
          <w:numId w:val="1"/>
        </w:numPr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3F6B80">
        <w:rPr>
          <w:b w:val="0"/>
          <w:sz w:val="20"/>
          <w:szCs w:val="20"/>
          <w:lang w:val="en-US"/>
        </w:rPr>
        <w:t xml:space="preserve"> </w:t>
      </w:r>
      <w:r w:rsidR="00FB287D">
        <w:rPr>
          <w:b w:val="0"/>
          <w:sz w:val="20"/>
          <w:szCs w:val="20"/>
          <w:lang w:val="en-US"/>
        </w:rPr>
        <w:t>_________________________________________</w:t>
      </w:r>
      <w:bookmarkStart w:id="0" w:name="_GoBack"/>
      <w:bookmarkEnd w:id="0"/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56"/>
        <w:gridCol w:w="4845"/>
      </w:tblGrid>
      <w:tr w:rsidR="00803F25" w:rsidRPr="00FB287D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mol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03F25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A28FB" w:rsidRDefault="00803F25" w:rsidP="005A0ACB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A0ACB" w:rsidRPr="005A0ACB">
              <w:rPr>
                <w:sz w:val="20"/>
                <w:szCs w:val="20"/>
                <w:lang w:val="en-US"/>
              </w:rPr>
              <w:t>_</w:t>
            </w:r>
            <w:r w:rsidR="005A0ACB" w:rsidRPr="00AA28FB"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A03622" w:rsidRPr="00A03622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FB287D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r>
        <w:t>u</w:t>
      </w:r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25"/>
    <w:rsid w:val="003F6B80"/>
    <w:rsid w:val="004028F6"/>
    <w:rsid w:val="004B6857"/>
    <w:rsid w:val="005A0ACB"/>
    <w:rsid w:val="00803F25"/>
    <w:rsid w:val="00922C93"/>
    <w:rsid w:val="00A03622"/>
    <w:rsid w:val="00AA28FB"/>
    <w:rsid w:val="00B56C1B"/>
    <w:rsid w:val="00DB6211"/>
    <w:rsid w:val="00E8699F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57624-638F-4142-B7A7-3139281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Uz Tech</cp:lastModifiedBy>
  <cp:revision>8</cp:revision>
  <dcterms:created xsi:type="dcterms:W3CDTF">2022-06-08T13:22:00Z</dcterms:created>
  <dcterms:modified xsi:type="dcterms:W3CDTF">2022-08-25T08:56:00Z</dcterms:modified>
</cp:coreProperties>
</file>